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6"/>
        <w:sectPr>
          <w:headerReference r:id="rId5" w:type="first"/>
          <w:headerReference r:id="rId3" w:type="default"/>
          <w:footerReference r:id="rId6" w:type="default"/>
          <w:headerReference r:id="rId4" w:type="even"/>
          <w:footerReference r:id="rId7" w:type="even"/>
          <w:pgSz w:w="11907" w:h="16839"/>
          <w:pgMar w:top="567" w:right="851" w:bottom="1361" w:left="1418" w:header="0" w:footer="0" w:gutter="0"/>
          <w:pgNumType w:fmt="upperRoman" w:start="1"/>
          <w:cols w:space="425" w:num="1"/>
          <w:titlePg/>
          <w:docGrid w:type="lines" w:linePitch="312" w:charSpace="0"/>
        </w:sectPr>
      </w:pPr>
      <w:bookmarkStart w:id="153" w:name="_GoBack"/>
      <w:bookmarkEnd w:id="153"/>
      <w:r>
        <mc:AlternateContent>
          <mc:Choice Requires="wps">
            <w:drawing>
              <wp:anchor distT="0" distB="0" distL="114300" distR="114300" simplePos="0" relativeHeight="251668480" behindDoc="0" locked="0" layoutInCell="1" allowOverlap="1">
                <wp:simplePos x="0" y="0"/>
                <wp:positionH relativeFrom="column">
                  <wp:posOffset>5000625</wp:posOffset>
                </wp:positionH>
                <wp:positionV relativeFrom="paragraph">
                  <wp:posOffset>8832215</wp:posOffset>
                </wp:positionV>
                <wp:extent cx="733425" cy="351155"/>
                <wp:effectExtent l="0" t="0" r="9525"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733425" cy="351155"/>
                        </a:xfrm>
                        <a:prstGeom prst="rect">
                          <a:avLst/>
                        </a:prstGeom>
                        <a:solidFill>
                          <a:srgbClr val="FFFFFF"/>
                        </a:solidFill>
                        <a:ln>
                          <a:noFill/>
                        </a:ln>
                      </wps:spPr>
                      <wps:txbx>
                        <w:txbxContent>
                          <w:p>
                            <w:pPr>
                              <w:rPr>
                                <w:rFonts w:ascii="黑体" w:eastAsia="黑体"/>
                                <w:sz w:val="28"/>
                                <w:szCs w:val="28"/>
                              </w:rPr>
                            </w:pPr>
                            <w:r>
                              <w:rPr>
                                <w:rFonts w:hint="eastAsia" w:ascii="黑体" w:eastAsia="黑体"/>
                                <w:sz w:val="28"/>
                                <w:szCs w:val="28"/>
                              </w:rPr>
                              <w:t>发布</w:t>
                            </w:r>
                          </w:p>
                        </w:txbxContent>
                      </wps:txbx>
                      <wps:bodyPr rot="0" vert="horz" wrap="square" lIns="91440" tIns="10800" rIns="91440" bIns="45720" anchor="t" anchorCtr="0" upright="1">
                        <a:noAutofit/>
                      </wps:bodyPr>
                    </wps:wsp>
                  </a:graphicData>
                </a:graphic>
              </wp:anchor>
            </w:drawing>
          </mc:Choice>
          <mc:Fallback>
            <w:pict>
              <v:shape id="_x0000_s1026" o:spid="_x0000_s1026" o:spt="202" type="#_x0000_t202" style="position:absolute;left:0pt;margin-left:393.75pt;margin-top:695.45pt;height:27.65pt;width:57.75pt;z-index:251668480;mso-width-relative:page;mso-height-relative:page;" fillcolor="#FFFFFF" filled="t" stroked="f" coordsize="21600,21600" o:gfxdata="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cZsrjaAAAADQEAAA8AAAAA&#10;AAAAAQAgAAAAIgAAAGRycy9kb3ducmV2LnhtbFBLAQIUABQAAAAIAIdO4kC1XOUcEgIAAPEDAAAO&#10;AAAAAAAAAAEAIAAAACkBAABkcnMvZTJvRG9jLnhtbFBLBQYAAAAABgAGAFkBAACtBQAAAAA=&#10;">
                <v:fill on="t" focussize="0,0"/>
                <v:stroke on="f"/>
                <v:imagedata o:title=""/>
                <o:lock v:ext="edit" aspectratio="f"/>
                <v:textbox inset="2.54mm,0.3mm,2.54mm,1.27mm">
                  <w:txbxContent>
                    <w:p>
                      <w:pPr>
                        <w:rPr>
                          <w:rFonts w:ascii="黑体" w:eastAsia="黑体"/>
                          <w:sz w:val="28"/>
                          <w:szCs w:val="28"/>
                        </w:rPr>
                      </w:pPr>
                      <w:r>
                        <w:rPr>
                          <w:rFonts w:hint="eastAsia" w:ascii="黑体" w:eastAsia="黑体"/>
                          <w:sz w:val="28"/>
                          <w:szCs w:val="28"/>
                        </w:rPr>
                        <w:t>发布</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2339975</wp:posOffset>
                </wp:positionV>
                <wp:extent cx="61214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_x0000_s1026" o:spid="_x0000_s1026" o:spt="20" style="position:absolute;left:0pt;margin-left:0pt;margin-top:184.25pt;height:0pt;width:482pt;z-index:251666432;mso-width-relative:page;mso-height-relative:page;" filled="f" stroked="t" coordsize="21600,21600" o:gfxdata="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2vNRJ1wAAAAgBAAAPAAAAAAAAAAEAIAAAACIAAABkcnMvZG93&#10;bnJldi54bWxQSwECFAAUAAAACACHTuJARIoPCcgBAABdAwAADgAAAAAAAAABACAAAAAmAQAAZHJz&#10;L2Uyb0RvYy54bWxQSwUGAAAAAAYABgBZAQAAYAU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9504" behindDoc="0" locked="1" layoutInCell="1" allowOverlap="1">
                <wp:simplePos x="0" y="0"/>
                <wp:positionH relativeFrom="margin">
                  <wp:posOffset>2549525</wp:posOffset>
                </wp:positionH>
                <wp:positionV relativeFrom="margin">
                  <wp:posOffset>107315</wp:posOffset>
                </wp:positionV>
                <wp:extent cx="3175000" cy="720090"/>
                <wp:effectExtent l="1905" t="635" r="4445" b="3175"/>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pPr>
                              <w:pStyle w:val="34"/>
                            </w:pPr>
                            <w:r>
                              <w:t>DB44</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00.75pt;margin-top:8.45pt;height:56.7pt;width:250pt;mso-position-horizontal-relative:margin;mso-position-vertical-relative:margin;z-index:251669504;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&#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lZOzzYAAAACgEAAA8AAAAAAAAAAQAgAAAAIgAAAGRy&#10;cy9kb3ducmV2LnhtbFBLAQIUABQAAAAIAIdO4kDI7omYBQIAAOIDAAAOAAAAAAAAAAEAIAAAACcB&#10;AABkcnMvZTJvRG9jLnhtbFBLBQYAAAAABgAGAFkBAACeBQAAAAA=&#10;">
                <v:fill on="t" focussize="0,0"/>
                <v:stroke on="f"/>
                <v:imagedata o:title=""/>
                <o:lock v:ext="edit" aspectratio="f"/>
                <v:textbox inset="0mm,0mm,0mm,0mm">
                  <w:txbxContent>
                    <w:p>
                      <w:pPr>
                        <w:pStyle w:val="34"/>
                      </w:pPr>
                      <w:r>
                        <w:t>DB44</w:t>
                      </w:r>
                    </w:p>
                  </w:txbxContent>
                </v:textbox>
                <w10:anchorlock/>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8663305</wp:posOffset>
                </wp:positionV>
                <wp:extent cx="6121400" cy="0"/>
                <wp:effectExtent l="14605" t="12700" r="7620" b="6350"/>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_x0000_s1026" o:spid="_x0000_s1026" o:spt="20" style="position:absolute;left:0pt;margin-left:0pt;margin-top:682.15pt;height:0pt;width:482pt;z-index:251667456;mso-width-relative:page;mso-height-relative:page;" filled="f" stroked="t" coordsize="21600,21600" o:gfxdata="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6Euc91wAAAAoBAAAPAAAAAAAAAAEAIAAAACIAAABkcnMvZG93&#10;bnJldi54bWxQSwECFAAUAAAACACHTuJAuYTWwMgBAABdAwAADgAAAAAAAAABACAAAAAmAQAAZHJz&#10;L2Uyb0RvYy54bWxQSwUGAAAAAAYABgBZAQAAYAU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-635</wp:posOffset>
                </wp:positionH>
                <wp:positionV relativeFrom="margin">
                  <wp:posOffset>8745855</wp:posOffset>
                </wp:positionV>
                <wp:extent cx="6134100" cy="661035"/>
                <wp:effectExtent l="0" t="0" r="0" b="5715"/>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6134100" cy="661035"/>
                        </a:xfrm>
                        <a:prstGeom prst="rect">
                          <a:avLst/>
                        </a:prstGeom>
                        <a:solidFill>
                          <a:srgbClr val="FFFFFF"/>
                        </a:solidFill>
                        <a:ln>
                          <a:noFill/>
                        </a:ln>
                      </wps:spPr>
                      <wps:txbx>
                        <w:txbxContent>
                          <w:p>
                            <w:pPr>
                              <w:pStyle w:val="48"/>
                              <w:snapToGrid w:val="0"/>
                              <w:spacing w:line="240" w:lineRule="auto"/>
                              <w:rPr>
                                <w:szCs w:val="36"/>
                              </w:rPr>
                            </w:pPr>
                            <w:r>
                              <w:rPr>
                                <w:rFonts w:hint="eastAsia"/>
                                <w:szCs w:val="36"/>
                              </w:rPr>
                              <w:t>广</w:t>
                            </w:r>
                            <w:r>
                              <w:rPr>
                                <w:rFonts w:hint="eastAsia"/>
                                <w:sz w:val="12"/>
                                <w:szCs w:val="12"/>
                              </w:rPr>
                              <w:t xml:space="preserve"> </w:t>
                            </w:r>
                            <w:r>
                              <w:rPr>
                                <w:rFonts w:hint="eastAsia"/>
                                <w:szCs w:val="36"/>
                              </w:rPr>
                              <w:t>东</w:t>
                            </w:r>
                            <w:r>
                              <w:rPr>
                                <w:rFonts w:hint="eastAsia"/>
                                <w:sz w:val="12"/>
                                <w:szCs w:val="12"/>
                              </w:rPr>
                              <w:t xml:space="preserve"> </w:t>
                            </w:r>
                            <w:r>
                              <w:rPr>
                                <w:rFonts w:hint="eastAsia"/>
                                <w:szCs w:val="36"/>
                              </w:rPr>
                              <w:t>省</w:t>
                            </w:r>
                            <w:r>
                              <w:rPr>
                                <w:rFonts w:hint="eastAsia"/>
                                <w:sz w:val="12"/>
                                <w:szCs w:val="12"/>
                              </w:rPr>
                              <w:t xml:space="preserve"> </w:t>
                            </w:r>
                            <w:r>
                              <w:rPr>
                                <w:rFonts w:hint="eastAsia"/>
                                <w:szCs w:val="36"/>
                              </w:rPr>
                              <w:t>生</w:t>
                            </w:r>
                            <w:r>
                              <w:rPr>
                                <w:rFonts w:hint="eastAsia"/>
                                <w:sz w:val="12"/>
                                <w:szCs w:val="12"/>
                              </w:rPr>
                              <w:t xml:space="preserve"> </w:t>
                            </w:r>
                            <w:r>
                              <w:rPr>
                                <w:rFonts w:hint="eastAsia"/>
                                <w:szCs w:val="36"/>
                              </w:rPr>
                              <w:t>态</w:t>
                            </w:r>
                            <w:r>
                              <w:rPr>
                                <w:rFonts w:hint="eastAsia"/>
                                <w:sz w:val="12"/>
                                <w:szCs w:val="12"/>
                              </w:rPr>
                              <w:t xml:space="preserve"> </w:t>
                            </w:r>
                            <w:r>
                              <w:rPr>
                                <w:rFonts w:hint="eastAsia"/>
                                <w:szCs w:val="36"/>
                              </w:rPr>
                              <w:t>环</w:t>
                            </w:r>
                            <w:r>
                              <w:rPr>
                                <w:rFonts w:hint="eastAsia"/>
                                <w:sz w:val="12"/>
                                <w:szCs w:val="12"/>
                              </w:rPr>
                              <w:t xml:space="preserve"> </w:t>
                            </w:r>
                            <w:r>
                              <w:rPr>
                                <w:rFonts w:hint="eastAsia"/>
                                <w:szCs w:val="36"/>
                              </w:rPr>
                              <w:t>境</w:t>
                            </w:r>
                            <w:r>
                              <w:rPr>
                                <w:rFonts w:hint="eastAsia"/>
                                <w:sz w:val="12"/>
                                <w:szCs w:val="12"/>
                              </w:rPr>
                              <w:t xml:space="preserve"> </w:t>
                            </w:r>
                            <w:r>
                              <w:rPr>
                                <w:rFonts w:hint="eastAsia"/>
                                <w:szCs w:val="36"/>
                              </w:rPr>
                              <w:t>厅</w:t>
                            </w:r>
                          </w:p>
                          <w:p>
                            <w:pPr>
                              <w:pStyle w:val="48"/>
                              <w:snapToGrid w:val="0"/>
                              <w:spacing w:line="240" w:lineRule="auto"/>
                              <w:rPr>
                                <w:szCs w:val="36"/>
                              </w:rPr>
                            </w:pPr>
                            <w:r>
                              <w:rPr>
                                <w:rFonts w:hint="eastAsia"/>
                                <w:szCs w:val="36"/>
                              </w:rPr>
                              <w:t>广东省市场监督管理局</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05pt;margin-top:688.65pt;height:52.05pt;width:483pt;mso-position-horizontal-relative:margin;mso-position-vertical-relative:margin;z-index:251665408;mso-width-relative:page;mso-height-relative:page;" fillcolor="#FFFFFF" filled="t" stroked="f" coordsize="21600,21600" o:gfxdata="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OznP/aAAAACwEAAA8AAAAAAAAAAQAgAAAAIgAA&#10;AGRycy9kb3ducmV2LnhtbFBLAQIUABQAAAAIAIdO4kA462tgBgIAAOADAAAOAAAAAAAAAAEAIAAA&#10;ACkBAABkcnMvZTJvRG9jLnhtbFBLBQYAAAAABgAGAFkBAAChBQAAAAA=&#10;">
                <v:fill on="t" focussize="0,0"/>
                <v:stroke on="f"/>
                <v:imagedata o:title=""/>
                <o:lock v:ext="edit" aspectratio="f"/>
                <v:textbox inset="0mm,0mm,0mm,0mm">
                  <w:txbxContent>
                    <w:p>
                      <w:pPr>
                        <w:pStyle w:val="48"/>
                        <w:snapToGrid w:val="0"/>
                        <w:spacing w:line="240" w:lineRule="auto"/>
                        <w:rPr>
                          <w:szCs w:val="36"/>
                        </w:rPr>
                      </w:pPr>
                      <w:r>
                        <w:rPr>
                          <w:rFonts w:hint="eastAsia"/>
                          <w:szCs w:val="36"/>
                        </w:rPr>
                        <w:t>广</w:t>
                      </w:r>
                      <w:r>
                        <w:rPr>
                          <w:rFonts w:hint="eastAsia"/>
                          <w:sz w:val="12"/>
                          <w:szCs w:val="12"/>
                        </w:rPr>
                        <w:t xml:space="preserve"> </w:t>
                      </w:r>
                      <w:r>
                        <w:rPr>
                          <w:rFonts w:hint="eastAsia"/>
                          <w:szCs w:val="36"/>
                        </w:rPr>
                        <w:t>东</w:t>
                      </w:r>
                      <w:r>
                        <w:rPr>
                          <w:rFonts w:hint="eastAsia"/>
                          <w:sz w:val="12"/>
                          <w:szCs w:val="12"/>
                        </w:rPr>
                        <w:t xml:space="preserve"> </w:t>
                      </w:r>
                      <w:r>
                        <w:rPr>
                          <w:rFonts w:hint="eastAsia"/>
                          <w:szCs w:val="36"/>
                        </w:rPr>
                        <w:t>省</w:t>
                      </w:r>
                      <w:r>
                        <w:rPr>
                          <w:rFonts w:hint="eastAsia"/>
                          <w:sz w:val="12"/>
                          <w:szCs w:val="12"/>
                        </w:rPr>
                        <w:t xml:space="preserve"> </w:t>
                      </w:r>
                      <w:r>
                        <w:rPr>
                          <w:rFonts w:hint="eastAsia"/>
                          <w:szCs w:val="36"/>
                        </w:rPr>
                        <w:t>生</w:t>
                      </w:r>
                      <w:r>
                        <w:rPr>
                          <w:rFonts w:hint="eastAsia"/>
                          <w:sz w:val="12"/>
                          <w:szCs w:val="12"/>
                        </w:rPr>
                        <w:t xml:space="preserve"> </w:t>
                      </w:r>
                      <w:r>
                        <w:rPr>
                          <w:rFonts w:hint="eastAsia"/>
                          <w:szCs w:val="36"/>
                        </w:rPr>
                        <w:t>态</w:t>
                      </w:r>
                      <w:r>
                        <w:rPr>
                          <w:rFonts w:hint="eastAsia"/>
                          <w:sz w:val="12"/>
                          <w:szCs w:val="12"/>
                        </w:rPr>
                        <w:t xml:space="preserve"> </w:t>
                      </w:r>
                      <w:r>
                        <w:rPr>
                          <w:rFonts w:hint="eastAsia"/>
                          <w:szCs w:val="36"/>
                        </w:rPr>
                        <w:t>环</w:t>
                      </w:r>
                      <w:r>
                        <w:rPr>
                          <w:rFonts w:hint="eastAsia"/>
                          <w:sz w:val="12"/>
                          <w:szCs w:val="12"/>
                        </w:rPr>
                        <w:t xml:space="preserve"> </w:t>
                      </w:r>
                      <w:r>
                        <w:rPr>
                          <w:rFonts w:hint="eastAsia"/>
                          <w:szCs w:val="36"/>
                        </w:rPr>
                        <w:t>境</w:t>
                      </w:r>
                      <w:r>
                        <w:rPr>
                          <w:rFonts w:hint="eastAsia"/>
                          <w:sz w:val="12"/>
                          <w:szCs w:val="12"/>
                        </w:rPr>
                        <w:t xml:space="preserve"> </w:t>
                      </w:r>
                      <w:r>
                        <w:rPr>
                          <w:rFonts w:hint="eastAsia"/>
                          <w:szCs w:val="36"/>
                        </w:rPr>
                        <w:t>厅</w:t>
                      </w:r>
                    </w:p>
                    <w:p>
                      <w:pPr>
                        <w:pStyle w:val="48"/>
                        <w:snapToGrid w:val="0"/>
                        <w:spacing w:line="240" w:lineRule="auto"/>
                        <w:rPr>
                          <w:szCs w:val="36"/>
                        </w:rPr>
                      </w:pPr>
                      <w:r>
                        <w:rPr>
                          <w:rFonts w:hint="eastAsia"/>
                          <w:szCs w:val="36"/>
                        </w:rPr>
                        <w:t>广东省市场监督管理局</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4067175</wp:posOffset>
                </wp:positionH>
                <wp:positionV relativeFrom="margin">
                  <wp:posOffset>8221980</wp:posOffset>
                </wp:positionV>
                <wp:extent cx="2019300" cy="312420"/>
                <wp:effectExtent l="0" t="0" r="4445" b="190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49"/>
                              <w:rPr>
                                <w:rFonts w:ascii="黑体" w:hAnsi="黑体"/>
                              </w:rPr>
                            </w:pPr>
                            <w:r>
                              <w:rPr>
                                <w:rFonts w:hint="eastAsia" w:ascii="黑体" w:hAnsi="黑体"/>
                              </w:rPr>
                              <w:t>2019-04-01实施</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320.25pt;margin-top:647.4pt;height:24.6pt;width:159pt;mso-position-horizontal-relative:margin;mso-position-vertical-relative:margin;z-index:251664384;mso-width-relative:page;mso-height-relative:page;" fillcolor="#FFFFFF" filled="t" stroked="f" coordsize="21600,21600" o:gfxdata="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ryEN9oAAAANAQAADwAAAAAAAAABACAAAAAiAAAA&#10;ZHJzL2Rvd25yZXYueG1sUEsBAhQAFAAAAAgAh07iQKHYt3UFAgAA4AMAAA4AAAAAAAAAAQAgAAAA&#10;KQEAAGRycy9lMm9Eb2MueG1sUEsFBgAAAAAGAAYAWQEAAKAFAAAAAA==&#10;">
                <v:fill on="t" focussize="0,0"/>
                <v:stroke on="f"/>
                <v:imagedata o:title=""/>
                <o:lock v:ext="edit" aspectratio="f"/>
                <v:textbox inset="0mm,0mm,0mm,0mm">
                  <w:txbxContent>
                    <w:p>
                      <w:pPr>
                        <w:pStyle w:val="49"/>
                        <w:rPr>
                          <w:rFonts w:ascii="黑体" w:hAnsi="黑体"/>
                        </w:rPr>
                      </w:pPr>
                      <w:r>
                        <w:rPr>
                          <w:rFonts w:hint="eastAsia" w:ascii="黑体" w:hAnsi="黑体"/>
                        </w:rPr>
                        <w:t>2019-04-01实施</w:t>
                      </w: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66675</wp:posOffset>
                </wp:positionH>
                <wp:positionV relativeFrom="margin">
                  <wp:posOffset>8221980</wp:posOffset>
                </wp:positionV>
                <wp:extent cx="2019300" cy="312420"/>
                <wp:effectExtent l="0" t="0" r="4445" b="1905"/>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41"/>
                              <w:rPr>
                                <w:rFonts w:ascii="黑体" w:hAnsi="黑体"/>
                              </w:rPr>
                            </w:pPr>
                            <w:r>
                              <w:rPr>
                                <w:rFonts w:hint="eastAsia" w:ascii="黑体" w:hAnsi="黑体"/>
                              </w:rPr>
                              <w:t>2019-03-06发布</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25pt;margin-top:647.4pt;height:24.6pt;width:159pt;mso-position-horizontal-relative:margin;mso-position-vertical-relative:margin;z-index:251663360;mso-width-relative:page;mso-height-relative:page;" fillcolor="#FFFFFF" filled="t" stroked="f" coordsize="21600,21600" o:gfxdata="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Q3rU9gAAAAMAQAADwAAAAAAAAABACAAAAAiAAAAZHJz&#10;L2Rvd25yZXYueG1sUEsBAhQAFAAAAAgAh07iQBcPsIUEAgAA4AMAAA4AAAAAAAAAAQAgAAAAJwEA&#10;AGRycy9lMm9Eb2MueG1sUEsFBgAAAAAGAAYAWQEAAJ0FAAAAAA==&#10;">
                <v:fill on="t" focussize="0,0"/>
                <v:stroke on="f"/>
                <v:imagedata o:title=""/>
                <o:lock v:ext="edit" aspectratio="f"/>
                <v:textbox inset="0mm,0mm,0mm,0mm">
                  <w:txbxContent>
                    <w:p>
                      <w:pPr>
                        <w:pStyle w:val="41"/>
                        <w:rPr>
                          <w:rFonts w:ascii="黑体" w:hAnsi="黑体"/>
                        </w:rPr>
                      </w:pPr>
                      <w:r>
                        <w:rPr>
                          <w:rFonts w:hint="eastAsia" w:ascii="黑体" w:hAnsi="黑体"/>
                        </w:rPr>
                        <w:t>2019-03-06发布</w:t>
                      </w: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3639820</wp:posOffset>
                </wp:positionV>
                <wp:extent cx="5969000" cy="468122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wps:spPr>
                      <wps:txbx>
                        <w:txbxContent>
                          <w:p>
                            <w:pPr>
                              <w:pStyle w:val="42"/>
                            </w:pPr>
                            <w:r>
                              <w:rPr>
                                <w:rFonts w:hint="eastAsia"/>
                              </w:rPr>
                              <w:t>锅炉大气污染物排放标准</w:t>
                            </w:r>
                          </w:p>
                          <w:p>
                            <w:pPr>
                              <w:pStyle w:val="44"/>
                              <w:rPr>
                                <w:rFonts w:eastAsia="黑体"/>
                              </w:rPr>
                            </w:pPr>
                            <w:r>
                              <w:rPr>
                                <w:rFonts w:eastAsia="黑体"/>
                              </w:rPr>
                              <w:t>Emission standard of air pollutants for boilers</w:t>
                            </w:r>
                          </w:p>
                          <w:p>
                            <w:pPr>
                              <w:pStyle w:val="45"/>
                            </w:pPr>
                            <w:r>
                              <w:rPr>
                                <w:rFonts w:hint="eastAsia"/>
                              </w:rPr>
                              <w:t>（发布稿）</w:t>
                            </w:r>
                          </w:p>
                          <w:p>
                            <w:pPr>
                              <w:pStyle w:val="43"/>
                              <w:rPr>
                                <w:rFonts w:ascii="黑体" w:eastAsia="黑体"/>
                                <w:sz w:val="30"/>
                                <w:szCs w:val="30"/>
                              </w:rPr>
                            </w:pPr>
                          </w:p>
                          <w:p>
                            <w:pPr>
                              <w:pStyle w:val="25"/>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286.6pt;height:368.6pt;width:470pt;mso-position-horizontal-relative:margin;mso-position-vertical-relative:margin;z-index:251662336;mso-width-relative:page;mso-height-relative:page;" fillcolor="#FFFFFF" filled="t" stroked="f" coordsize="21600,21600" o:gfxdata="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kl+7dgAAAAJAQAADwAAAAAAAAABACAAAAAiAAAA&#10;ZHJzL2Rvd25yZXYueG1sUEsBAhQAFAAAAAgAh07iQF5jjTwHAgAA4QMAAA4AAAAAAAAAAQAgAAAA&#10;JwEAAGRycy9lMm9Eb2MueG1sUEsFBgAAAAAGAAYAWQEAAKAFAAAAAA==&#10;">
                <v:fill on="t" focussize="0,0"/>
                <v:stroke on="f"/>
                <v:imagedata o:title=""/>
                <o:lock v:ext="edit" aspectratio="f"/>
                <v:textbox inset="0mm,0mm,0mm,0mm">
                  <w:txbxContent>
                    <w:p>
                      <w:pPr>
                        <w:pStyle w:val="42"/>
                      </w:pPr>
                      <w:r>
                        <w:rPr>
                          <w:rFonts w:hint="eastAsia"/>
                        </w:rPr>
                        <w:t>锅炉大气污染物排放标准</w:t>
                      </w:r>
                    </w:p>
                    <w:p>
                      <w:pPr>
                        <w:pStyle w:val="44"/>
                        <w:rPr>
                          <w:rFonts w:eastAsia="黑体"/>
                        </w:rPr>
                      </w:pPr>
                      <w:r>
                        <w:rPr>
                          <w:rFonts w:eastAsia="黑体"/>
                        </w:rPr>
                        <w:t>Emission standard of air pollutants for boilers</w:t>
                      </w:r>
                    </w:p>
                    <w:p>
                      <w:pPr>
                        <w:pStyle w:val="45"/>
                      </w:pPr>
                      <w:r>
                        <w:rPr>
                          <w:rFonts w:hint="eastAsia"/>
                        </w:rPr>
                        <w:t>（发布稿）</w:t>
                      </w:r>
                    </w:p>
                    <w:p>
                      <w:pPr>
                        <w:pStyle w:val="43"/>
                        <w:rPr>
                          <w:rFonts w:ascii="黑体" w:eastAsia="黑体"/>
                          <w:sz w:val="30"/>
                          <w:szCs w:val="30"/>
                        </w:rPr>
                      </w:pPr>
                    </w:p>
                    <w:p>
                      <w:pPr>
                        <w:pStyle w:val="25"/>
                      </w:pP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align>right</wp:align>
                </wp:positionH>
                <wp:positionV relativeFrom="margin">
                  <wp:posOffset>1687195</wp:posOffset>
                </wp:positionV>
                <wp:extent cx="1489710" cy="55245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489710" cy="552450"/>
                        </a:xfrm>
                        <a:prstGeom prst="rect">
                          <a:avLst/>
                        </a:prstGeom>
                        <a:solidFill>
                          <a:srgbClr val="FFFFFF"/>
                        </a:solidFill>
                        <a:ln>
                          <a:noFill/>
                        </a:ln>
                      </wps:spPr>
                      <wps:txbx>
                        <w:txbxContent>
                          <w:p>
                            <w:pPr>
                              <w:pStyle w:val="27"/>
                              <w:spacing w:line="0" w:lineRule="atLeast"/>
                              <w:ind w:firstLine="0" w:firstLineChars="0"/>
                              <w:jc w:val="center"/>
                              <w:rPr>
                                <w:rFonts w:ascii="Times New Roman" w:eastAsia="黑体"/>
                                <w:sz w:val="28"/>
                                <w:szCs w:val="28"/>
                              </w:rPr>
                            </w:pPr>
                            <w:r>
                              <w:rPr>
                                <w:rFonts w:ascii="Times New Roman" w:eastAsia="黑体"/>
                                <w:sz w:val="28"/>
                                <w:szCs w:val="28"/>
                              </w:rPr>
                              <w:t>DB 44/765-201</w:t>
                            </w:r>
                            <w:r>
                              <w:rPr>
                                <w:rFonts w:hint="eastAsia" w:ascii="Times New Roman" w:eastAsia="黑体"/>
                                <w:sz w:val="28"/>
                                <w:szCs w:val="28"/>
                              </w:rPr>
                              <w:t>9</w:t>
                            </w:r>
                          </w:p>
                          <w:p>
                            <w:pPr>
                              <w:pStyle w:val="27"/>
                              <w:spacing w:line="0" w:lineRule="atLeast"/>
                              <w:ind w:firstLine="0" w:firstLineChars="0"/>
                              <w:jc w:val="center"/>
                              <w:rPr>
                                <w:rFonts w:ascii="Times New Roman"/>
                                <w:sz w:val="18"/>
                                <w:szCs w:val="18"/>
                              </w:rPr>
                            </w:pPr>
                          </w:p>
                          <w:p>
                            <w:pPr>
                              <w:pStyle w:val="27"/>
                              <w:spacing w:line="0" w:lineRule="atLeast"/>
                              <w:ind w:firstLine="0" w:firstLineChars="0"/>
                              <w:jc w:val="center"/>
                              <w:rPr>
                                <w:rFonts w:ascii="Times New Roman" w:eastAsiaTheme="minorEastAsia"/>
                                <w:szCs w:val="21"/>
                              </w:rPr>
                            </w:pPr>
                            <w:r>
                              <w:rPr>
                                <w:rFonts w:ascii="Times New Roman" w:eastAsiaTheme="minorEastAsia"/>
                                <w:szCs w:val="21"/>
                              </w:rPr>
                              <w:t>代替DB 44/765-2010</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132.85pt;height:43.5pt;width:117.3pt;mso-position-horizontal:right;mso-position-horizontal-relative:margin;mso-position-vertical-relative:margin;z-index:251661312;mso-width-relative:page;mso-height-relative:page;" fillcolor="#FFFFFF" filled="t" stroked="f" coordsize="21600,21600" o:gfxdata="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&#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aGQ1a2AAAAAgBAAAPAAAAAAAAAAEAIAAAACIAAABk&#10;cnMvZG93bnJldi54bWxQSwECFAAUAAAACACHTuJAgvBluQYCAADgAwAADgAAAAAAAAABACAAAAAn&#10;AQAAZHJzL2Uyb0RvYy54bWxQSwUGAAAAAAYABgBZAQAAnwUAAAAA&#10;">
                <v:fill on="t" focussize="0,0"/>
                <v:stroke on="f"/>
                <v:imagedata o:title=""/>
                <o:lock v:ext="edit" aspectratio="f"/>
                <v:textbox inset="0mm,0mm,0mm,0mm">
                  <w:txbxContent>
                    <w:p>
                      <w:pPr>
                        <w:pStyle w:val="27"/>
                        <w:spacing w:line="0" w:lineRule="atLeast"/>
                        <w:ind w:firstLine="0" w:firstLineChars="0"/>
                        <w:jc w:val="center"/>
                        <w:rPr>
                          <w:rFonts w:ascii="Times New Roman" w:eastAsia="黑体"/>
                          <w:sz w:val="28"/>
                          <w:szCs w:val="28"/>
                        </w:rPr>
                      </w:pPr>
                      <w:r>
                        <w:rPr>
                          <w:rFonts w:ascii="Times New Roman" w:eastAsia="黑体"/>
                          <w:sz w:val="28"/>
                          <w:szCs w:val="28"/>
                        </w:rPr>
                        <w:t>DB 44/765-201</w:t>
                      </w:r>
                      <w:r>
                        <w:rPr>
                          <w:rFonts w:hint="eastAsia" w:ascii="Times New Roman" w:eastAsia="黑体"/>
                          <w:sz w:val="28"/>
                          <w:szCs w:val="28"/>
                        </w:rPr>
                        <w:t>9</w:t>
                      </w:r>
                    </w:p>
                    <w:p>
                      <w:pPr>
                        <w:pStyle w:val="27"/>
                        <w:spacing w:line="0" w:lineRule="atLeast"/>
                        <w:ind w:firstLine="0" w:firstLineChars="0"/>
                        <w:jc w:val="center"/>
                        <w:rPr>
                          <w:rFonts w:ascii="Times New Roman"/>
                          <w:sz w:val="18"/>
                          <w:szCs w:val="18"/>
                        </w:rPr>
                      </w:pPr>
                    </w:p>
                    <w:p>
                      <w:pPr>
                        <w:pStyle w:val="27"/>
                        <w:spacing w:line="0" w:lineRule="atLeast"/>
                        <w:ind w:firstLine="0" w:firstLineChars="0"/>
                        <w:jc w:val="center"/>
                        <w:rPr>
                          <w:rFonts w:ascii="Times New Roman" w:eastAsiaTheme="minorEastAsia"/>
                          <w:szCs w:val="21"/>
                        </w:rPr>
                      </w:pPr>
                      <w:r>
                        <w:rPr>
                          <w:rFonts w:ascii="Times New Roman" w:eastAsiaTheme="minorEastAsia"/>
                          <w:szCs w:val="21"/>
                        </w:rPr>
                        <w:t>代替DB 44/765-2010</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pPr>
                              <w:pStyle w:val="47"/>
                            </w:pPr>
                            <w:r>
                              <w:rPr>
                                <w:rFonts w:hint="eastAsia"/>
                              </w:rPr>
                              <w:t>广东省地方标准</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GDkcF1wAAAAgBAAAPAAAAAAAAAAEAIAAAACIAAABkcnMv&#10;ZG93bnJldi54bWxQSwECFAAUAAAACACHTuJAcPfU9wQCAADgAwAADgAAAAAAAAABACAAAAAmAQAA&#10;ZHJzL2Uyb0RvYy54bWxQSwUGAAAAAAYABgBZAQAAnAUAAAAA&#10;">
                <v:fill on="t" focussize="0,0"/>
                <v:stroke on="f"/>
                <v:imagedata o:title=""/>
                <o:lock v:ext="edit" aspectratio="f"/>
                <v:textbox inset="0mm,0mm,0mm,0mm">
                  <w:txbxContent>
                    <w:p>
                      <w:pPr>
                        <w:pStyle w:val="47"/>
                      </w:pPr>
                      <w:r>
                        <w:rPr>
                          <w:rFonts w:hint="eastAsia"/>
                        </w:rPr>
                        <w:t>广东省地方标准</w:t>
                      </w:r>
                    </w:p>
                  </w:txbxContent>
                </v:textbox>
                <w10:anchorlock/>
              </v:shape>
            </w:pict>
          </mc:Fallback>
        </mc:AlternateContent>
      </w:r>
    </w:p>
    <w:p>
      <w:pPr>
        <w:pStyle w:val="28"/>
        <w:rPr>
          <w:rFonts w:ascii="Times New Roman"/>
        </w:rPr>
        <w:sectPr>
          <w:headerReference r:id="rId8" w:type="default"/>
          <w:footerReference r:id="rId10" w:type="default"/>
          <w:headerReference r:id="rId9" w:type="even"/>
          <w:footerReference r:id="rId11" w:type="even"/>
          <w:pgSz w:w="11907" w:h="16839"/>
          <w:pgMar w:top="1418" w:right="1134" w:bottom="1134" w:left="1418" w:header="1418" w:footer="851" w:gutter="0"/>
          <w:pgNumType w:fmt="upperRoman" w:start="1"/>
          <w:cols w:space="425" w:num="1"/>
          <w:docGrid w:type="lines" w:linePitch="312" w:charSpace="0"/>
        </w:sectPr>
      </w:pPr>
    </w:p>
    <w:p>
      <w:pPr>
        <w:pStyle w:val="28"/>
        <w:rPr>
          <w:rFonts w:ascii="Times New Roman"/>
        </w:rPr>
      </w:pPr>
      <w:r>
        <w:rPr>
          <w:rFonts w:ascii="Times New Roman"/>
        </w:rPr>
        <w:t>目    次</w:t>
      </w:r>
    </w:p>
    <w:p>
      <w:pPr>
        <w:pStyle w:val="5"/>
        <w:rPr>
          <w:rFonts w:eastAsiaTheme="minorEastAsia"/>
          <w:szCs w:val="22"/>
        </w:rPr>
      </w:pPr>
      <w:r>
        <w:rPr>
          <w:rStyle w:val="15"/>
        </w:rPr>
        <w:fldChar w:fldCharType="begin"/>
      </w:r>
      <w:r>
        <w:rPr>
          <w:rStyle w:val="15"/>
        </w:rPr>
        <w:instrText xml:space="preserve"> TOC \f \h \t "前言、引言标题,附录标识,参考文献、索引标题,章标题,附录章标题" </w:instrText>
      </w:r>
      <w:r>
        <w:rPr>
          <w:rStyle w:val="15"/>
        </w:rPr>
        <w:fldChar w:fldCharType="separate"/>
      </w:r>
      <w:r>
        <w:fldChar w:fldCharType="begin"/>
      </w:r>
      <w:r>
        <w:instrText xml:space="preserve"> HYPERLINK \l "_Toc513038580" </w:instrText>
      </w:r>
      <w:r>
        <w:fldChar w:fldCharType="separate"/>
      </w:r>
      <w:r>
        <w:rPr>
          <w:rStyle w:val="15"/>
        </w:rPr>
        <w:t>前    言</w:t>
      </w:r>
      <w:r>
        <w:tab/>
      </w:r>
      <w:r>
        <w:fldChar w:fldCharType="begin"/>
      </w:r>
      <w:r>
        <w:instrText xml:space="preserve"> PAGEREF _Toc513038580 \h </w:instrText>
      </w:r>
      <w:r>
        <w:fldChar w:fldCharType="separate"/>
      </w:r>
      <w:r>
        <w:t>ii</w:t>
      </w:r>
      <w:r>
        <w:fldChar w:fldCharType="end"/>
      </w:r>
      <w:r>
        <w:fldChar w:fldCharType="end"/>
      </w:r>
    </w:p>
    <w:p>
      <w:pPr>
        <w:pStyle w:val="5"/>
        <w:rPr>
          <w:rFonts w:eastAsiaTheme="minorEastAsia"/>
          <w:szCs w:val="22"/>
        </w:rPr>
      </w:pPr>
      <w:r>
        <w:fldChar w:fldCharType="begin"/>
      </w:r>
      <w:r>
        <w:instrText xml:space="preserve"> HYPERLINK \l "_Toc513038581" </w:instrText>
      </w:r>
      <w:r>
        <w:fldChar w:fldCharType="separate"/>
      </w:r>
      <w:r>
        <w:rPr>
          <w:rStyle w:val="15"/>
        </w:rPr>
        <w:t>1 适用范围</w:t>
      </w:r>
      <w:r>
        <w:tab/>
      </w:r>
      <w:r>
        <w:fldChar w:fldCharType="begin"/>
      </w:r>
      <w:r>
        <w:instrText xml:space="preserve"> PAGEREF _Toc513038581 \h </w:instrText>
      </w:r>
      <w:r>
        <w:fldChar w:fldCharType="separate"/>
      </w:r>
      <w:r>
        <w:t>1</w:t>
      </w:r>
      <w:r>
        <w:fldChar w:fldCharType="end"/>
      </w:r>
      <w:r>
        <w:fldChar w:fldCharType="end"/>
      </w:r>
    </w:p>
    <w:p>
      <w:pPr>
        <w:pStyle w:val="5"/>
        <w:rPr>
          <w:rFonts w:eastAsiaTheme="minorEastAsia"/>
          <w:szCs w:val="22"/>
        </w:rPr>
      </w:pPr>
      <w:r>
        <w:fldChar w:fldCharType="begin"/>
      </w:r>
      <w:r>
        <w:instrText xml:space="preserve"> HYPERLINK \l "_Toc513038582" </w:instrText>
      </w:r>
      <w:r>
        <w:fldChar w:fldCharType="separate"/>
      </w:r>
      <w:r>
        <w:rPr>
          <w:rStyle w:val="15"/>
        </w:rPr>
        <w:t>2 规范性引用文件</w:t>
      </w:r>
      <w:r>
        <w:tab/>
      </w:r>
      <w:r>
        <w:fldChar w:fldCharType="begin"/>
      </w:r>
      <w:r>
        <w:instrText xml:space="preserve"> PAGEREF _Toc513038582 \h </w:instrText>
      </w:r>
      <w:r>
        <w:fldChar w:fldCharType="separate"/>
      </w:r>
      <w:r>
        <w:t>1</w:t>
      </w:r>
      <w:r>
        <w:fldChar w:fldCharType="end"/>
      </w:r>
      <w:r>
        <w:fldChar w:fldCharType="end"/>
      </w:r>
    </w:p>
    <w:p>
      <w:pPr>
        <w:pStyle w:val="5"/>
        <w:rPr>
          <w:rFonts w:eastAsiaTheme="minorEastAsia"/>
          <w:szCs w:val="22"/>
        </w:rPr>
      </w:pPr>
      <w:r>
        <w:fldChar w:fldCharType="begin"/>
      </w:r>
      <w:r>
        <w:instrText xml:space="preserve"> HYPERLINK \l "_Toc513038583" </w:instrText>
      </w:r>
      <w:r>
        <w:fldChar w:fldCharType="separate"/>
      </w:r>
      <w:r>
        <w:rPr>
          <w:rStyle w:val="15"/>
        </w:rPr>
        <w:t>3 术语和定义</w:t>
      </w:r>
      <w:r>
        <w:tab/>
      </w:r>
      <w:r>
        <w:fldChar w:fldCharType="begin"/>
      </w:r>
      <w:r>
        <w:instrText xml:space="preserve"> PAGEREF _Toc513038583 \h </w:instrText>
      </w:r>
      <w:r>
        <w:fldChar w:fldCharType="separate"/>
      </w:r>
      <w:r>
        <w:t>2</w:t>
      </w:r>
      <w:r>
        <w:fldChar w:fldCharType="end"/>
      </w:r>
      <w:r>
        <w:fldChar w:fldCharType="end"/>
      </w:r>
    </w:p>
    <w:p>
      <w:pPr>
        <w:pStyle w:val="5"/>
        <w:rPr>
          <w:rFonts w:eastAsiaTheme="minorEastAsia"/>
          <w:szCs w:val="22"/>
        </w:rPr>
      </w:pPr>
      <w:r>
        <w:fldChar w:fldCharType="begin"/>
      </w:r>
      <w:r>
        <w:instrText xml:space="preserve"> HYPERLINK \l "_Toc513038584" </w:instrText>
      </w:r>
      <w:r>
        <w:fldChar w:fldCharType="separate"/>
      </w:r>
      <w:r>
        <w:rPr>
          <w:rStyle w:val="15"/>
        </w:rPr>
        <w:t xml:space="preserve">4 </w:t>
      </w:r>
      <w:bookmarkStart w:id="0" w:name="_Hlk535400514"/>
      <w:r>
        <w:rPr>
          <w:rStyle w:val="15"/>
        </w:rPr>
        <w:t>大气污染物排放控制要求</w:t>
      </w:r>
      <w:bookmarkEnd w:id="0"/>
      <w:r>
        <w:tab/>
      </w:r>
      <w:r>
        <w:fldChar w:fldCharType="begin"/>
      </w:r>
      <w:r>
        <w:instrText xml:space="preserve"> PAGEREF _Toc513038584 \h </w:instrText>
      </w:r>
      <w:r>
        <w:fldChar w:fldCharType="separate"/>
      </w:r>
      <w:r>
        <w:t>3</w:t>
      </w:r>
      <w:r>
        <w:fldChar w:fldCharType="end"/>
      </w:r>
      <w:r>
        <w:fldChar w:fldCharType="end"/>
      </w:r>
    </w:p>
    <w:p>
      <w:pPr>
        <w:pStyle w:val="5"/>
        <w:rPr>
          <w:rFonts w:eastAsiaTheme="minorEastAsia"/>
          <w:szCs w:val="22"/>
        </w:rPr>
      </w:pPr>
      <w:r>
        <w:fldChar w:fldCharType="begin"/>
      </w:r>
      <w:r>
        <w:instrText xml:space="preserve"> HYPERLINK \l "_Toc513038585" </w:instrText>
      </w:r>
      <w:r>
        <w:fldChar w:fldCharType="separate"/>
      </w:r>
      <w:r>
        <w:rPr>
          <w:rStyle w:val="15"/>
        </w:rPr>
        <w:t xml:space="preserve">5 </w:t>
      </w:r>
      <w:bookmarkStart w:id="1" w:name="_Hlk535400520"/>
      <w:r>
        <w:rPr>
          <w:rStyle w:val="15"/>
        </w:rPr>
        <w:t>大气污染物监测要求</w:t>
      </w:r>
      <w:bookmarkEnd w:id="1"/>
      <w:r>
        <w:tab/>
      </w:r>
      <w:r>
        <w:fldChar w:fldCharType="begin"/>
      </w:r>
      <w:r>
        <w:instrText xml:space="preserve"> PAGEREF _Toc513038585 \h </w:instrText>
      </w:r>
      <w:r>
        <w:fldChar w:fldCharType="separate"/>
      </w:r>
      <w:r>
        <w:t>5</w:t>
      </w:r>
      <w:r>
        <w:fldChar w:fldCharType="end"/>
      </w:r>
      <w:r>
        <w:fldChar w:fldCharType="end"/>
      </w:r>
    </w:p>
    <w:p>
      <w:pPr>
        <w:pStyle w:val="5"/>
        <w:rPr>
          <w:rFonts w:eastAsiaTheme="minorEastAsia"/>
          <w:szCs w:val="22"/>
        </w:rPr>
      </w:pPr>
      <w:r>
        <w:fldChar w:fldCharType="begin"/>
      </w:r>
      <w:r>
        <w:instrText xml:space="preserve"> HYPERLINK \l "_Toc513038586" </w:instrText>
      </w:r>
      <w:r>
        <w:fldChar w:fldCharType="separate"/>
      </w:r>
      <w:r>
        <w:rPr>
          <w:rStyle w:val="15"/>
        </w:rPr>
        <w:t xml:space="preserve">6 </w:t>
      </w:r>
      <w:bookmarkStart w:id="2" w:name="_Hlk535400531"/>
      <w:r>
        <w:rPr>
          <w:rStyle w:val="15"/>
        </w:rPr>
        <w:t>实施与监督</w:t>
      </w:r>
      <w:bookmarkEnd w:id="2"/>
      <w:r>
        <w:tab/>
      </w:r>
      <w:r>
        <w:fldChar w:fldCharType="begin"/>
      </w:r>
      <w:r>
        <w:instrText xml:space="preserve"> PAGEREF _Toc513038586 \h </w:instrText>
      </w:r>
      <w:r>
        <w:fldChar w:fldCharType="separate"/>
      </w:r>
      <w:r>
        <w:t>6</w:t>
      </w:r>
      <w:r>
        <w:fldChar w:fldCharType="end"/>
      </w:r>
      <w:r>
        <w:fldChar w:fldCharType="end"/>
      </w:r>
    </w:p>
    <w:p>
      <w:pPr>
        <w:pStyle w:val="5"/>
        <w:sectPr>
          <w:headerReference r:id="rId12" w:type="default"/>
          <w:footerReference r:id="rId13" w:type="default"/>
          <w:pgSz w:w="11907" w:h="16839"/>
          <w:pgMar w:top="1418" w:right="1134" w:bottom="1134" w:left="1418" w:header="850" w:footer="992" w:gutter="0"/>
          <w:pgNumType w:fmt="lowerRoman" w:start="1"/>
          <w:cols w:space="425" w:num="1"/>
          <w:docGrid w:type="lines" w:linePitch="312" w:charSpace="0"/>
        </w:sectPr>
      </w:pPr>
      <w:r>
        <w:rPr>
          <w:rStyle w:val="15"/>
        </w:rPr>
        <w:fldChar w:fldCharType="end"/>
      </w:r>
    </w:p>
    <w:p>
      <w:pPr>
        <w:pStyle w:val="28"/>
        <w:rPr>
          <w:rFonts w:ascii="Times New Roman"/>
        </w:rPr>
      </w:pPr>
      <w:bookmarkStart w:id="3" w:name="_Toc513038580"/>
      <w:r>
        <w:rPr>
          <w:rFonts w:ascii="Times New Roman"/>
        </w:rPr>
        <w:t>前    言</w:t>
      </w:r>
      <w:bookmarkEnd w:id="3"/>
    </w:p>
    <w:p>
      <w:pPr>
        <w:pStyle w:val="27"/>
        <w:spacing w:line="360" w:lineRule="auto"/>
        <w:rPr>
          <w:rFonts w:ascii="Times New Roman"/>
          <w:color w:val="000000"/>
        </w:rPr>
      </w:pPr>
      <w:bookmarkStart w:id="4" w:name="_Hlk535400711"/>
      <w:bookmarkStart w:id="5" w:name="_Hlk535400617"/>
      <w:r>
        <w:rPr>
          <w:rFonts w:ascii="Times New Roman"/>
          <w:lang w:val="zh-CN"/>
        </w:rPr>
        <w:t>为贯彻《中华人民共和国环境保护法》</w:t>
      </w:r>
      <w:r>
        <w:rPr>
          <w:rFonts w:hint="eastAsia" w:ascii="Times New Roman"/>
          <w:lang w:val="zh-CN"/>
        </w:rPr>
        <w:t xml:space="preserve"> </w:t>
      </w:r>
      <w:r>
        <w:rPr>
          <w:rFonts w:ascii="Times New Roman"/>
          <w:lang w:val="zh-CN"/>
        </w:rPr>
        <w:t>《中华人民共和国大气污染防治法》</w:t>
      </w:r>
      <w:r>
        <w:rPr>
          <w:rFonts w:hint="eastAsia" w:ascii="Times New Roman"/>
          <w:lang w:val="zh-CN"/>
        </w:rPr>
        <w:t xml:space="preserve"> </w:t>
      </w:r>
      <w:r>
        <w:rPr>
          <w:rFonts w:ascii="Times New Roman"/>
          <w:lang w:val="zh-CN"/>
        </w:rPr>
        <w:t>《广东省环境保护条例》等法律、法规，</w:t>
      </w:r>
      <w:r>
        <w:rPr>
          <w:rFonts w:ascii="Times New Roman"/>
          <w:color w:val="000000"/>
        </w:rPr>
        <w:t>加强广东省锅炉大气污染物排放控制，改</w:t>
      </w:r>
      <w:r>
        <w:rPr>
          <w:rFonts w:ascii="Times New Roman"/>
          <w:lang w:val="zh-CN"/>
        </w:rPr>
        <w:t>善区域大气环境质量，促进锅炉生产、运行和污染治理技术的进步，制定本标准。</w:t>
      </w:r>
      <w:bookmarkEnd w:id="4"/>
    </w:p>
    <w:bookmarkEnd w:id="5"/>
    <w:p>
      <w:pPr>
        <w:pStyle w:val="27"/>
        <w:spacing w:line="360" w:lineRule="auto"/>
        <w:rPr>
          <w:rFonts w:ascii="Times New Roman"/>
        </w:rPr>
      </w:pPr>
      <w:bookmarkStart w:id="6" w:name="_Hlk535413410"/>
      <w:bookmarkStart w:id="7" w:name="_Hlk535400734"/>
      <w:bookmarkStart w:id="8" w:name="_Hlk535400637"/>
      <w:r>
        <w:rPr>
          <w:rFonts w:ascii="Times New Roman"/>
        </w:rPr>
        <w:t>本标准规定了锅炉大气污染物浓度排放限值、监测和监控要求。</w:t>
      </w:r>
    </w:p>
    <w:p>
      <w:pPr>
        <w:pStyle w:val="27"/>
        <w:spacing w:line="360" w:lineRule="auto"/>
        <w:rPr>
          <w:rFonts w:ascii="Times New Roman"/>
        </w:rPr>
      </w:pPr>
      <w:r>
        <w:rPr>
          <w:rFonts w:ascii="Times New Roman"/>
        </w:rPr>
        <w:t>锅炉排放的水污染物、环境噪声适用相应的国家和广东省污染物排放标准，产生固体废物的鉴别、处理和处置适用国家和广东省固体废物污染控制标准。</w:t>
      </w:r>
      <w:bookmarkEnd w:id="6"/>
    </w:p>
    <w:p>
      <w:pPr>
        <w:pStyle w:val="27"/>
        <w:spacing w:line="360" w:lineRule="auto"/>
        <w:rPr>
          <w:rFonts w:ascii="Times New Roman"/>
        </w:rPr>
      </w:pPr>
      <w:bookmarkStart w:id="9" w:name="_Hlk535413424"/>
      <w:r>
        <w:rPr>
          <w:rFonts w:ascii="Times New Roman"/>
        </w:rPr>
        <w:t>本标准2010年首次发布，本次为第一次修订。本标准将根据广东省社会经济发展状况和环境保护要求适时修订。</w:t>
      </w:r>
      <w:bookmarkEnd w:id="7"/>
      <w:bookmarkEnd w:id="9"/>
    </w:p>
    <w:p>
      <w:pPr>
        <w:pStyle w:val="27"/>
        <w:spacing w:line="360" w:lineRule="auto"/>
        <w:rPr>
          <w:rFonts w:ascii="Times New Roman"/>
        </w:rPr>
      </w:pPr>
      <w:bookmarkStart w:id="10" w:name="_Hlk535400750"/>
      <w:bookmarkStart w:id="11" w:name="_Hlk535413436"/>
      <w:r>
        <w:rPr>
          <w:rFonts w:ascii="Times New Roman"/>
        </w:rPr>
        <w:t>此次修订的主要内容：</w:t>
      </w:r>
      <w:bookmarkEnd w:id="10"/>
    </w:p>
    <w:p>
      <w:pPr>
        <w:pStyle w:val="27"/>
        <w:spacing w:line="360" w:lineRule="auto"/>
        <w:rPr>
          <w:rFonts w:ascii="Times New Roman"/>
        </w:rPr>
      </w:pPr>
      <w:bookmarkStart w:id="12" w:name="_Hlk535400767"/>
      <w:r>
        <w:rPr>
          <w:rFonts w:ascii="Times New Roman"/>
        </w:rPr>
        <w:t>——更改了适用范围，明确了</w:t>
      </w:r>
      <w:r>
        <w:rPr>
          <w:rFonts w:hint="eastAsia" w:ascii="Times New Roman"/>
        </w:rPr>
        <w:t>燃</w:t>
      </w:r>
      <w:r>
        <w:rPr>
          <w:rFonts w:ascii="Times New Roman"/>
        </w:rPr>
        <w:t>生物质成型燃料锅炉的大气污染物排放限值；</w:t>
      </w:r>
    </w:p>
    <w:p>
      <w:pPr>
        <w:pStyle w:val="27"/>
        <w:spacing w:line="360" w:lineRule="auto"/>
        <w:rPr>
          <w:rFonts w:ascii="Times New Roman"/>
        </w:rPr>
      </w:pPr>
      <w:bookmarkStart w:id="13" w:name="OLE_LINK9"/>
      <w:r>
        <w:rPr>
          <w:rFonts w:ascii="Times New Roman"/>
        </w:rPr>
        <w:t>——</w:t>
      </w:r>
      <w:bookmarkEnd w:id="13"/>
      <w:r>
        <w:rPr>
          <w:rFonts w:ascii="Times New Roman"/>
        </w:rPr>
        <w:t>收严了锅炉大气污染物排放限值，增加了燃煤锅炉汞及其化合物的排放限值；</w:t>
      </w:r>
    </w:p>
    <w:p>
      <w:pPr>
        <w:pStyle w:val="27"/>
        <w:spacing w:line="360" w:lineRule="auto"/>
        <w:rPr>
          <w:rFonts w:ascii="Times New Roman"/>
        </w:rPr>
      </w:pPr>
      <w:bookmarkStart w:id="14" w:name="OLE_LINK17"/>
      <w:bookmarkStart w:id="15" w:name="OLE_LINK18"/>
      <w:r>
        <w:rPr>
          <w:rFonts w:ascii="Times New Roman"/>
        </w:rPr>
        <w:t>——取消了按功能区、锅炉容量执行不同排放限值的规定；</w:t>
      </w:r>
    </w:p>
    <w:p>
      <w:pPr>
        <w:pStyle w:val="27"/>
        <w:spacing w:line="360" w:lineRule="auto"/>
        <w:rPr>
          <w:rFonts w:ascii="Times New Roman"/>
        </w:rPr>
      </w:pPr>
      <w:r>
        <w:rPr>
          <w:rFonts w:ascii="Times New Roman"/>
        </w:rPr>
        <w:t>——增加了大气污染物特别排放限值；</w:t>
      </w:r>
    </w:p>
    <w:p>
      <w:pPr>
        <w:pStyle w:val="27"/>
        <w:spacing w:line="360" w:lineRule="auto"/>
        <w:rPr>
          <w:rFonts w:ascii="Times New Roman"/>
        </w:rPr>
      </w:pPr>
      <w:r>
        <w:rPr>
          <w:rFonts w:ascii="Times New Roman"/>
        </w:rPr>
        <w:t>——增加了</w:t>
      </w:r>
      <w:r>
        <w:rPr>
          <w:rFonts w:hint="eastAsia" w:ascii="Times New Roman"/>
        </w:rPr>
        <w:t>无组织排放控制要求；</w:t>
      </w:r>
    </w:p>
    <w:p>
      <w:pPr>
        <w:pStyle w:val="27"/>
        <w:spacing w:line="360" w:lineRule="auto"/>
        <w:rPr>
          <w:rFonts w:ascii="Times New Roman"/>
        </w:rPr>
      </w:pPr>
      <w:r>
        <w:rPr>
          <w:rFonts w:ascii="Times New Roman"/>
        </w:rPr>
        <w:t>——将大气污染物的过量空气折算系数改为大气污染物基准含氧量排放浓度折算，明确了</w:t>
      </w:r>
      <w:r>
        <w:rPr>
          <w:rFonts w:hint="eastAsia" w:ascii="Times New Roman"/>
        </w:rPr>
        <w:t>燃</w:t>
      </w:r>
      <w:r>
        <w:rPr>
          <w:rFonts w:ascii="Times New Roman"/>
        </w:rPr>
        <w:t>生物质成型燃料锅炉的大气污染物基准氧含量。</w:t>
      </w:r>
      <w:bookmarkEnd w:id="11"/>
      <w:bookmarkEnd w:id="12"/>
    </w:p>
    <w:bookmarkEnd w:id="14"/>
    <w:bookmarkEnd w:id="15"/>
    <w:p>
      <w:pPr>
        <w:pStyle w:val="27"/>
        <w:spacing w:line="360" w:lineRule="auto"/>
        <w:rPr>
          <w:rFonts w:ascii="Times New Roman"/>
        </w:rPr>
      </w:pPr>
      <w:bookmarkStart w:id="16" w:name="_Hlk535413489"/>
      <w:r>
        <w:rPr>
          <w:rFonts w:ascii="Times New Roman"/>
          <w:szCs w:val="21"/>
        </w:rPr>
        <w:t>本标准是锅炉大气污染物排放控制的基本要求。环境影响评价文件的要求严于本标准时，按照批复的环境影响评价文件执行。</w:t>
      </w:r>
      <w:bookmarkEnd w:id="16"/>
    </w:p>
    <w:p>
      <w:pPr>
        <w:pStyle w:val="27"/>
        <w:spacing w:line="360" w:lineRule="auto"/>
        <w:rPr>
          <w:rFonts w:ascii="Times New Roman"/>
        </w:rPr>
      </w:pPr>
      <w:bookmarkStart w:id="17" w:name="_Hlk535413503"/>
      <w:r>
        <w:rPr>
          <w:rFonts w:ascii="Times New Roman"/>
        </w:rPr>
        <w:t>本标准由广东省</w:t>
      </w:r>
      <w:r>
        <w:rPr>
          <w:rFonts w:hint="eastAsia" w:ascii="Times New Roman"/>
        </w:rPr>
        <w:t>生态</w:t>
      </w:r>
      <w:r>
        <w:rPr>
          <w:rFonts w:ascii="Times New Roman"/>
        </w:rPr>
        <w:t>环境厅组织制订。</w:t>
      </w:r>
      <w:bookmarkEnd w:id="17"/>
    </w:p>
    <w:p>
      <w:pPr>
        <w:pStyle w:val="27"/>
        <w:spacing w:line="360" w:lineRule="auto"/>
        <w:rPr>
          <w:rFonts w:ascii="Times New Roman"/>
        </w:rPr>
      </w:pPr>
      <w:bookmarkStart w:id="18" w:name="_Hlk535413518"/>
      <w:r>
        <w:rPr>
          <w:rFonts w:ascii="Times New Roman"/>
        </w:rPr>
        <w:t>本标准</w:t>
      </w:r>
      <w:bookmarkEnd w:id="18"/>
      <w:r>
        <w:rPr>
          <w:rFonts w:ascii="Times New Roman"/>
        </w:rPr>
        <w:t>起草单位：广东省环境科学研究院、</w:t>
      </w:r>
      <w:bookmarkStart w:id="19" w:name="_Hlk535400783"/>
      <w:r>
        <w:rPr>
          <w:rFonts w:ascii="Times New Roman"/>
        </w:rPr>
        <w:t>广东省环境监测中心</w:t>
      </w:r>
      <w:bookmarkEnd w:id="19"/>
      <w:r>
        <w:rPr>
          <w:rFonts w:ascii="Times New Roman"/>
        </w:rPr>
        <w:t>。</w:t>
      </w:r>
    </w:p>
    <w:p>
      <w:pPr>
        <w:pStyle w:val="27"/>
        <w:spacing w:line="360" w:lineRule="auto"/>
        <w:rPr>
          <w:rFonts w:ascii="Times New Roman"/>
        </w:rPr>
      </w:pPr>
      <w:r>
        <w:rPr>
          <w:rFonts w:ascii="Times New Roman"/>
        </w:rPr>
        <w:t>本标准主要起草人：</w:t>
      </w:r>
      <w:bookmarkStart w:id="20" w:name="_Hlk535400792"/>
      <w:bookmarkStart w:id="21" w:name="_Hlk535413546"/>
      <w:r>
        <w:rPr>
          <w:rFonts w:ascii="Times New Roman"/>
        </w:rPr>
        <w:t>赵秀颖、廖程浩、张晖、张永波、唐喜斌、白莉、刘志阳、韩昊</w:t>
      </w:r>
      <w:bookmarkEnd w:id="20"/>
      <w:r>
        <w:rPr>
          <w:rFonts w:ascii="Times New Roman"/>
        </w:rPr>
        <w:t>。</w:t>
      </w:r>
      <w:bookmarkEnd w:id="21"/>
    </w:p>
    <w:p>
      <w:pPr>
        <w:pStyle w:val="27"/>
        <w:spacing w:line="360" w:lineRule="auto"/>
        <w:rPr>
          <w:rFonts w:ascii="Times New Roman"/>
        </w:rPr>
      </w:pPr>
      <w:bookmarkStart w:id="22" w:name="_Hlk535400815"/>
      <w:bookmarkStart w:id="23" w:name="_Hlk535413571"/>
      <w:r>
        <w:rPr>
          <w:rFonts w:ascii="Times New Roman"/>
        </w:rPr>
        <w:t>本标准由广东省人民政府2019年</w:t>
      </w:r>
      <w:r>
        <w:rPr>
          <w:rFonts w:hint="eastAsia" w:ascii="Times New Roman"/>
        </w:rPr>
        <w:t>2</w:t>
      </w:r>
      <w:r>
        <w:rPr>
          <w:rFonts w:ascii="Times New Roman"/>
        </w:rPr>
        <w:t>月</w:t>
      </w:r>
      <w:r>
        <w:rPr>
          <w:rFonts w:hint="eastAsia" w:ascii="Times New Roman"/>
        </w:rPr>
        <w:t>18</w:t>
      </w:r>
      <w:r>
        <w:rPr>
          <w:rFonts w:ascii="Times New Roman"/>
        </w:rPr>
        <w:t>日批准</w:t>
      </w:r>
      <w:bookmarkEnd w:id="22"/>
      <w:r>
        <w:rPr>
          <w:rFonts w:ascii="Times New Roman"/>
        </w:rPr>
        <w:t>。</w:t>
      </w:r>
    </w:p>
    <w:bookmarkEnd w:id="23"/>
    <w:p>
      <w:pPr>
        <w:pStyle w:val="27"/>
        <w:spacing w:line="360" w:lineRule="auto"/>
        <w:rPr>
          <w:rFonts w:ascii="Times New Roman"/>
        </w:rPr>
      </w:pPr>
      <w:bookmarkStart w:id="24" w:name="_Hlk535413583"/>
      <w:bookmarkStart w:id="25" w:name="_Hlk535400834"/>
      <w:r>
        <w:rPr>
          <w:rFonts w:ascii="Times New Roman"/>
        </w:rPr>
        <w:t>本标准</w:t>
      </w:r>
      <w:bookmarkEnd w:id="24"/>
      <w:r>
        <w:rPr>
          <w:rFonts w:ascii="Times New Roman"/>
        </w:rPr>
        <w:t>由广东省</w:t>
      </w:r>
      <w:bookmarkStart w:id="26" w:name="_Hlk535413593"/>
      <w:r>
        <w:rPr>
          <w:rFonts w:hint="eastAsia" w:ascii="Times New Roman"/>
        </w:rPr>
        <w:t>生态</w:t>
      </w:r>
      <w:r>
        <w:rPr>
          <w:rFonts w:ascii="Times New Roman"/>
        </w:rPr>
        <w:t>环境厅</w:t>
      </w:r>
      <w:bookmarkEnd w:id="26"/>
      <w:r>
        <w:rPr>
          <w:rFonts w:hint="eastAsia"/>
        </w:rPr>
        <w:t>提出并负责解释。</w:t>
      </w:r>
      <w:bookmarkEnd w:id="8"/>
      <w:bookmarkEnd w:id="25"/>
    </w:p>
    <w:p>
      <w:pPr>
        <w:pStyle w:val="27"/>
        <w:rPr>
          <w:rFonts w:ascii="Times New Roman"/>
        </w:rPr>
      </w:pPr>
      <w:r>
        <w:rPr>
          <w:rFonts w:ascii="Times New Roman"/>
        </w:rPr>
        <w:br w:type="page"/>
      </w:r>
    </w:p>
    <w:p>
      <w:pPr>
        <w:pStyle w:val="28"/>
        <w:rPr>
          <w:rFonts w:ascii="Times New Roman"/>
        </w:rPr>
        <w:sectPr>
          <w:footerReference r:id="rId14" w:type="default"/>
          <w:footerReference r:id="rId15" w:type="even"/>
          <w:pgSz w:w="11906" w:h="16838"/>
          <w:pgMar w:top="1440" w:right="1800" w:bottom="1440" w:left="1800" w:header="851" w:footer="992" w:gutter="0"/>
          <w:pgNumType w:fmt="lowerRoman"/>
          <w:cols w:space="425" w:num="1"/>
          <w:docGrid w:type="lines" w:linePitch="312" w:charSpace="0"/>
        </w:sectPr>
      </w:pPr>
    </w:p>
    <w:p>
      <w:pPr>
        <w:pStyle w:val="27"/>
        <w:spacing w:before="100" w:beforeAutospacing="1" w:after="100" w:afterAutospacing="1" w:line="360" w:lineRule="auto"/>
        <w:ind w:firstLine="640"/>
        <w:jc w:val="center"/>
        <w:rPr>
          <w:rFonts w:ascii="Times New Roman" w:eastAsia="黑体"/>
          <w:sz w:val="32"/>
          <w:szCs w:val="32"/>
        </w:rPr>
      </w:pPr>
      <w:r>
        <w:rPr>
          <w:rFonts w:ascii="Times New Roman" w:eastAsia="黑体"/>
          <w:sz w:val="32"/>
          <w:szCs w:val="32"/>
        </w:rPr>
        <w:t>锅炉大气污染物排放标准</w:t>
      </w:r>
    </w:p>
    <w:p>
      <w:pPr>
        <w:pStyle w:val="20"/>
        <w:rPr>
          <w:rFonts w:ascii="Times New Roman"/>
        </w:rPr>
      </w:pPr>
      <w:r>
        <w:rPr>
          <w:rFonts w:ascii="Times New Roman"/>
        </w:rPr>
        <w:t xml:space="preserve"> </w:t>
      </w:r>
      <w:bookmarkStart w:id="27" w:name="_Toc513038581"/>
      <w:r>
        <w:rPr>
          <w:rFonts w:ascii="Times New Roman"/>
        </w:rPr>
        <w:t>适用范围</w:t>
      </w:r>
      <w:bookmarkEnd w:id="27"/>
    </w:p>
    <w:p>
      <w:pPr>
        <w:pStyle w:val="27"/>
        <w:spacing w:line="360" w:lineRule="auto"/>
        <w:rPr>
          <w:rFonts w:ascii="Times New Roman"/>
        </w:rPr>
      </w:pPr>
      <w:bookmarkStart w:id="28" w:name="_Hlk535417694"/>
      <w:bookmarkStart w:id="29" w:name="_Hlk535400889"/>
      <w:r>
        <w:rPr>
          <w:rFonts w:ascii="Times New Roman"/>
        </w:rPr>
        <w:t>本标准规定了锅炉烟气中颗粒物、二氧化硫、氮氧化物、一氧化碳、汞及其化合物的最高允许排放浓度限值和烟气黑度限值。</w:t>
      </w:r>
      <w:bookmarkEnd w:id="28"/>
    </w:p>
    <w:bookmarkEnd w:id="29"/>
    <w:p>
      <w:pPr>
        <w:pStyle w:val="27"/>
        <w:spacing w:line="360" w:lineRule="auto"/>
        <w:rPr>
          <w:rFonts w:ascii="Times New Roman"/>
        </w:rPr>
      </w:pPr>
      <w:r>
        <w:rPr>
          <w:rFonts w:ascii="Times New Roman"/>
        </w:rPr>
        <w:t>本标准适用于以燃煤、燃油、燃气</w:t>
      </w:r>
      <w:bookmarkStart w:id="30" w:name="_Hlk535417728"/>
      <w:r>
        <w:rPr>
          <w:rFonts w:ascii="Times New Roman"/>
        </w:rPr>
        <w:t>和</w:t>
      </w:r>
      <w:bookmarkStart w:id="31" w:name="_Hlk535400930"/>
      <w:r>
        <w:rPr>
          <w:rFonts w:ascii="Times New Roman"/>
        </w:rPr>
        <w:t>燃生物质成型燃料</w:t>
      </w:r>
      <w:bookmarkEnd w:id="31"/>
      <w:r>
        <w:rPr>
          <w:rFonts w:ascii="Times New Roman"/>
        </w:rPr>
        <w:t>为燃料的</w:t>
      </w:r>
      <w:bookmarkStart w:id="32" w:name="_Hlk535400957"/>
      <w:r>
        <w:rPr>
          <w:rFonts w:ascii="Times New Roman"/>
        </w:rPr>
        <w:t>单台出力65t/h及以下蒸汽锅炉、各种容量的热水锅炉及有机热载体锅炉</w:t>
      </w:r>
      <w:r>
        <w:rPr>
          <w:rFonts w:hint="eastAsia" w:ascii="Times New Roman"/>
        </w:rPr>
        <w:t>；各种容量的层燃炉、抛煤机炉。</w:t>
      </w:r>
      <w:bookmarkEnd w:id="30"/>
      <w:bookmarkEnd w:id="32"/>
    </w:p>
    <w:p>
      <w:pPr>
        <w:pStyle w:val="27"/>
        <w:spacing w:line="360" w:lineRule="auto"/>
        <w:rPr>
          <w:rFonts w:ascii="Times New Roman"/>
        </w:rPr>
      </w:pPr>
      <w:bookmarkStart w:id="33" w:name="_Hlk535400986"/>
      <w:bookmarkStart w:id="34" w:name="OLE_LINK19"/>
      <w:bookmarkStart w:id="35" w:name="OLE_LINK20"/>
      <w:r>
        <w:rPr>
          <w:rFonts w:ascii="Times New Roman"/>
        </w:rPr>
        <w:t>使用型煤、水煤浆、煤矸石、石油焦、油页岩等燃料的锅炉，参照本标准中燃煤锅炉排放控制要求执行。</w:t>
      </w:r>
      <w:r>
        <w:rPr>
          <w:rFonts w:hint="eastAsia" w:ascii="Times New Roman"/>
        </w:rPr>
        <w:t>以木本植物或草本植物为燃料的</w:t>
      </w:r>
      <w:r>
        <w:rPr>
          <w:rFonts w:ascii="Times New Roman"/>
          <w:szCs w:val="21"/>
        </w:rPr>
        <w:t>锅炉，参照本标准中</w:t>
      </w:r>
      <w:r>
        <w:rPr>
          <w:rFonts w:hint="eastAsia" w:ascii="Times New Roman"/>
          <w:szCs w:val="21"/>
        </w:rPr>
        <w:t>燃</w:t>
      </w:r>
      <w:r>
        <w:rPr>
          <w:rFonts w:ascii="Times New Roman"/>
          <w:szCs w:val="21"/>
        </w:rPr>
        <w:t>生物质成型燃料锅炉排放控制要求执行。</w:t>
      </w:r>
      <w:r>
        <w:rPr>
          <w:rFonts w:ascii="Times New Roman"/>
        </w:rPr>
        <w:t>其他燃料根据其形态参照本标准相应形态燃料的最严格排放控制要求执行。</w:t>
      </w:r>
      <w:bookmarkEnd w:id="33"/>
    </w:p>
    <w:bookmarkEnd w:id="34"/>
    <w:bookmarkEnd w:id="35"/>
    <w:p>
      <w:pPr>
        <w:pStyle w:val="27"/>
        <w:spacing w:line="360" w:lineRule="auto"/>
        <w:rPr>
          <w:rFonts w:ascii="Times New Roman"/>
        </w:rPr>
      </w:pPr>
      <w:bookmarkStart w:id="36" w:name="_Hlk535417756"/>
      <w:bookmarkStart w:id="37" w:name="_Hlk535401012"/>
      <w:r>
        <w:rPr>
          <w:rFonts w:ascii="Times New Roman"/>
        </w:rPr>
        <w:t>本标准不适用于以生活垃圾、危险废物为燃料的锅炉</w:t>
      </w:r>
      <w:bookmarkEnd w:id="36"/>
      <w:r>
        <w:rPr>
          <w:rFonts w:ascii="Times New Roman"/>
        </w:rPr>
        <w:t>。</w:t>
      </w:r>
    </w:p>
    <w:p>
      <w:pPr>
        <w:pStyle w:val="27"/>
        <w:spacing w:line="360" w:lineRule="auto"/>
        <w:rPr>
          <w:rFonts w:ascii="Times New Roman"/>
        </w:rPr>
      </w:pPr>
      <w:bookmarkStart w:id="38" w:name="_Hlk535417776"/>
      <w:bookmarkStart w:id="39" w:name="OLE_LINK4"/>
      <w:bookmarkStart w:id="40" w:name="OLE_LINK5"/>
      <w:r>
        <w:rPr>
          <w:rFonts w:ascii="Times New Roman"/>
        </w:rPr>
        <w:t>本标准适用于在用锅炉的大气污染物排放管理，以及新建、改建、扩建锅炉建设项目</w:t>
      </w:r>
      <w:r>
        <w:rPr>
          <w:rFonts w:hint="eastAsia" w:ascii="Times New Roman"/>
        </w:rPr>
        <w:t>的</w:t>
      </w:r>
      <w:r>
        <w:rPr>
          <w:rFonts w:ascii="Times New Roman"/>
        </w:rPr>
        <w:t>环境影响评价、环境保护设施设计、环境保护竣工验收、排污许可及其投产后的大气污染物排放管理。</w:t>
      </w:r>
    </w:p>
    <w:bookmarkEnd w:id="37"/>
    <w:p>
      <w:pPr>
        <w:pStyle w:val="27"/>
        <w:spacing w:line="360" w:lineRule="auto"/>
        <w:rPr>
          <w:rFonts w:ascii="Times New Roman"/>
        </w:rPr>
      </w:pPr>
      <w:bookmarkStart w:id="41" w:name="_Hlk535401149"/>
      <w:r>
        <w:rPr>
          <w:rFonts w:ascii="Times New Roman"/>
        </w:rPr>
        <w:t>本标准适用于法律允许的污染物排放行为</w:t>
      </w:r>
      <w:r>
        <w:rPr>
          <w:rFonts w:hint="eastAsia" w:ascii="Times New Roman"/>
        </w:rPr>
        <w:t>。</w:t>
      </w:r>
      <w:r>
        <w:rPr>
          <w:rFonts w:ascii="Times New Roman"/>
        </w:rPr>
        <w:t>新设立污染源的选址和特殊保护区域内现有污染源的管理，按照《中华人民共和国大气污染防治法》</w:t>
      </w:r>
      <w:r>
        <w:rPr>
          <w:rFonts w:hint="eastAsia" w:ascii="Times New Roman"/>
        </w:rPr>
        <w:t xml:space="preserve"> </w:t>
      </w:r>
      <w:r>
        <w:rPr>
          <w:rFonts w:ascii="Times New Roman"/>
        </w:rPr>
        <w:t>《中华人民共和国水污染防治法》</w:t>
      </w:r>
      <w:r>
        <w:rPr>
          <w:rFonts w:hint="eastAsia" w:ascii="Times New Roman"/>
        </w:rPr>
        <w:t xml:space="preserve"> </w:t>
      </w:r>
      <w:r>
        <w:rPr>
          <w:rFonts w:ascii="Times New Roman"/>
        </w:rPr>
        <w:t>《中华人民共和国海洋环境保护法》</w:t>
      </w:r>
      <w:r>
        <w:rPr>
          <w:rFonts w:hint="eastAsia" w:ascii="Times New Roman"/>
        </w:rPr>
        <w:t xml:space="preserve"> </w:t>
      </w:r>
      <w:r>
        <w:rPr>
          <w:rFonts w:ascii="Times New Roman"/>
        </w:rPr>
        <w:t>《中华人民共和国固体废物污染环境防治法》</w:t>
      </w:r>
      <w:r>
        <w:rPr>
          <w:rFonts w:hint="eastAsia" w:ascii="Times New Roman"/>
        </w:rPr>
        <w:t xml:space="preserve"> </w:t>
      </w:r>
      <w:r>
        <w:rPr>
          <w:rFonts w:ascii="Times New Roman"/>
        </w:rPr>
        <w:t>《中华人民共和国放射性污染防治法》</w:t>
      </w:r>
      <w:r>
        <w:rPr>
          <w:rFonts w:hint="eastAsia" w:ascii="Times New Roman"/>
        </w:rPr>
        <w:t xml:space="preserve"> </w:t>
      </w:r>
      <w:r>
        <w:rPr>
          <w:rFonts w:ascii="Times New Roman"/>
        </w:rPr>
        <w:t>《中华人民共和国环境影响评价法》等法律、法规、规章的相关规定执行。</w:t>
      </w:r>
      <w:bookmarkEnd w:id="38"/>
      <w:bookmarkEnd w:id="41"/>
    </w:p>
    <w:bookmarkEnd w:id="39"/>
    <w:bookmarkEnd w:id="40"/>
    <w:p>
      <w:pPr>
        <w:pStyle w:val="20"/>
        <w:rPr>
          <w:rFonts w:ascii="Times New Roman"/>
        </w:rPr>
      </w:pPr>
      <w:bookmarkStart w:id="42" w:name="_Toc513038582"/>
      <w:r>
        <w:rPr>
          <w:rFonts w:ascii="Times New Roman"/>
        </w:rPr>
        <w:t>规范性引用文件</w:t>
      </w:r>
      <w:bookmarkEnd w:id="42"/>
    </w:p>
    <w:p>
      <w:pPr>
        <w:pStyle w:val="27"/>
        <w:spacing w:line="400" w:lineRule="exact"/>
        <w:rPr>
          <w:rFonts w:ascii="Times New Roman" w:eastAsiaTheme="minorEastAsia"/>
          <w:kern w:val="2"/>
          <w:szCs w:val="22"/>
        </w:rPr>
      </w:pPr>
      <w:bookmarkStart w:id="43" w:name="_Hlk535401162"/>
      <w:bookmarkStart w:id="44" w:name="_Hlk535417501"/>
      <w:r>
        <w:rPr>
          <w:rFonts w:ascii="Times New Roman"/>
        </w:rPr>
        <w:t>本标准内容引用了</w:t>
      </w:r>
      <w:bookmarkEnd w:id="43"/>
      <w:r>
        <w:rPr>
          <w:rFonts w:ascii="Times New Roman"/>
        </w:rPr>
        <w:t>下列文件</w:t>
      </w:r>
      <w:bookmarkStart w:id="45" w:name="_Hlk535401170"/>
      <w:r>
        <w:rPr>
          <w:rFonts w:ascii="Times New Roman"/>
        </w:rPr>
        <w:t>或其中的条款。</w:t>
      </w:r>
      <w:bookmarkEnd w:id="45"/>
      <w:r>
        <w:rPr>
          <w:rFonts w:ascii="Times New Roman"/>
        </w:rPr>
        <w:t>凡是不注日期的引用文件，其</w:t>
      </w:r>
      <w:bookmarkStart w:id="46" w:name="_Hlk535401193"/>
      <w:r>
        <w:rPr>
          <w:rFonts w:ascii="Times New Roman"/>
        </w:rPr>
        <w:t>有效版本</w:t>
      </w:r>
      <w:bookmarkEnd w:id="46"/>
      <w:r>
        <w:rPr>
          <w:rFonts w:ascii="Times New Roman"/>
        </w:rPr>
        <w:t>适用于本标准。</w:t>
      </w:r>
      <w:bookmarkEnd w:id="44"/>
      <w:bookmarkStart w:id="47" w:name="_Hlk535417657"/>
      <w:r>
        <w:rPr>
          <w:rFonts w:ascii="Times New Roman"/>
        </w:rPr>
        <w:fldChar w:fldCharType="begin"/>
      </w:r>
      <w:r>
        <w:rPr>
          <w:rFonts w:ascii="Times New Roman"/>
        </w:rPr>
        <w:instrText xml:space="preserve"> LINK Excel.Sheet.12 "C:\\Users\\GDEIC-sevice\\Desktop\\新建 Microsoft Excel 工作表.xlsx" Sheet1!R1C1:R17C2 \a \f 4 \h  \* MERGEFORMAT </w:instrText>
      </w:r>
      <w:r>
        <w:rPr>
          <w:rFonts w:ascii="Times New Roman"/>
        </w:rPr>
        <w:fldChar w:fldCharType="separate"/>
      </w:r>
    </w:p>
    <w:tbl>
      <w:tblPr>
        <w:tblStyle w:val="10"/>
        <w:tblW w:w="8364" w:type="dxa"/>
        <w:tblInd w:w="0" w:type="dxa"/>
        <w:tblLayout w:type="fixed"/>
        <w:tblCellMar>
          <w:top w:w="0" w:type="dxa"/>
          <w:left w:w="108" w:type="dxa"/>
          <w:bottom w:w="0" w:type="dxa"/>
          <w:right w:w="108" w:type="dxa"/>
        </w:tblCellMar>
      </w:tblPr>
      <w:tblGrid>
        <w:gridCol w:w="1843"/>
        <w:gridCol w:w="6521"/>
      </w:tblGrid>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GB 5468</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锅炉烟尘测试方法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GB 13271</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锅炉大气污染物排放标准</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GB/T 16157</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固定污染源排气中颗粒物测定与气态污染物采样方法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HJ/T 42</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固定污染源排气中氮氧化物的测定  紫外分光光度法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HJ/T 43</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固定污染源排气中氮氧化物的测定  盐酸萘乙二胺分光光度法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bookmarkStart w:id="48" w:name="_Hlk535401232"/>
            <w:r>
              <w:rPr>
                <w:rFonts w:eastAsiaTheme="minorEastAsia"/>
                <w:color w:val="000000"/>
                <w:kern w:val="0"/>
                <w:szCs w:val="21"/>
              </w:rPr>
              <w:t>HJ/T 44</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固定污染源排气中一氧化碳的测定  非色散红外吸收法</w:t>
            </w:r>
          </w:p>
        </w:tc>
      </w:tr>
      <w:bookmarkEnd w:id="48"/>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HJ/T 56</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固定污染源排气中二氧化硫的测定  碘量法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bookmarkStart w:id="49" w:name="RANGE!A8"/>
            <w:r>
              <w:rPr>
                <w:rFonts w:eastAsiaTheme="minorEastAsia"/>
                <w:color w:val="000000"/>
                <w:kern w:val="0"/>
                <w:szCs w:val="21"/>
              </w:rPr>
              <w:t>HJ 57</w:t>
            </w:r>
            <w:bookmarkEnd w:id="49"/>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固定污染源废气 二氧化硫的测定  定电位电解法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bookmarkStart w:id="50" w:name="_Hlk535417555"/>
            <w:r>
              <w:rPr>
                <w:rFonts w:eastAsiaTheme="minorEastAsia"/>
                <w:color w:val="000000"/>
                <w:kern w:val="0"/>
                <w:szCs w:val="21"/>
              </w:rPr>
              <w:t>HJ 75</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固定污染源烟气</w:t>
            </w:r>
            <w:bookmarkStart w:id="51" w:name="_Hlk535401294"/>
            <w:r>
              <w:rPr>
                <w:color w:val="000000"/>
                <w:kern w:val="0"/>
                <w:szCs w:val="21"/>
              </w:rPr>
              <w:t>（SO</w:t>
            </w:r>
            <w:r>
              <w:rPr>
                <w:color w:val="000000"/>
                <w:kern w:val="0"/>
                <w:szCs w:val="21"/>
                <w:vertAlign w:val="subscript"/>
              </w:rPr>
              <w:t>2</w:t>
            </w:r>
            <w:r>
              <w:rPr>
                <w:color w:val="000000"/>
                <w:kern w:val="0"/>
                <w:szCs w:val="21"/>
              </w:rPr>
              <w:t>、NO</w:t>
            </w:r>
            <w:r>
              <w:rPr>
                <w:color w:val="000000"/>
                <w:kern w:val="0"/>
                <w:szCs w:val="21"/>
                <w:vertAlign w:val="subscript"/>
              </w:rPr>
              <w:t>X</w:t>
            </w:r>
            <w:r>
              <w:rPr>
                <w:color w:val="000000"/>
                <w:kern w:val="0"/>
                <w:szCs w:val="21"/>
              </w:rPr>
              <w:t>、颗粒物）</w:t>
            </w:r>
            <w:bookmarkEnd w:id="51"/>
            <w:r>
              <w:rPr>
                <w:color w:val="000000"/>
                <w:kern w:val="0"/>
                <w:szCs w:val="21"/>
              </w:rPr>
              <w:t>排放连续监测技术规范</w:t>
            </w:r>
          </w:p>
        </w:tc>
      </w:tr>
      <w:bookmarkEnd w:id="50"/>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 76</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bookmarkStart w:id="52" w:name="_Hlk535417580"/>
            <w:r>
              <w:rPr>
                <w:color w:val="000000"/>
                <w:kern w:val="0"/>
                <w:szCs w:val="21"/>
              </w:rPr>
              <w:t>固定污染源烟气</w:t>
            </w:r>
            <w:bookmarkStart w:id="53" w:name="_Hlk535401314"/>
            <w:r>
              <w:rPr>
                <w:color w:val="000000"/>
                <w:kern w:val="0"/>
                <w:szCs w:val="21"/>
              </w:rPr>
              <w:t>（SO</w:t>
            </w:r>
            <w:r>
              <w:rPr>
                <w:color w:val="000000"/>
                <w:kern w:val="0"/>
                <w:szCs w:val="21"/>
                <w:vertAlign w:val="subscript"/>
              </w:rPr>
              <w:t>2</w:t>
            </w:r>
            <w:r>
              <w:rPr>
                <w:color w:val="000000"/>
                <w:kern w:val="0"/>
                <w:szCs w:val="21"/>
              </w:rPr>
              <w:t>、NO</w:t>
            </w:r>
            <w:r>
              <w:rPr>
                <w:color w:val="000000"/>
                <w:kern w:val="0"/>
                <w:szCs w:val="21"/>
                <w:vertAlign w:val="subscript"/>
              </w:rPr>
              <w:t>X</w:t>
            </w:r>
            <w:r>
              <w:rPr>
                <w:color w:val="000000"/>
                <w:kern w:val="0"/>
                <w:szCs w:val="21"/>
              </w:rPr>
              <w:t>、颗粒物）</w:t>
            </w:r>
            <w:bookmarkEnd w:id="53"/>
            <w:r>
              <w:rPr>
                <w:color w:val="000000"/>
                <w:kern w:val="0"/>
                <w:szCs w:val="21"/>
              </w:rPr>
              <w:t>排放连续监测系统技术要求及检测方法</w:t>
            </w:r>
            <w:bookmarkEnd w:id="52"/>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bookmarkStart w:id="54" w:name="_Hlk535401342"/>
            <w:r>
              <w:rPr>
                <w:rFonts w:eastAsiaTheme="minorEastAsia"/>
                <w:color w:val="000000"/>
                <w:kern w:val="0"/>
                <w:szCs w:val="21"/>
              </w:rPr>
              <w:t>HJ/T 373</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固定污染源监测质量保证与质量控制技术规范（试行）</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HJ/T 397</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固定源废气监测技术规范</w:t>
            </w:r>
          </w:p>
        </w:tc>
      </w:tr>
      <w:bookmarkEnd w:id="54"/>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HJ/T 398</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固定污染源排放烟气黑度的测定  林格曼烟气黑度图法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bookmarkStart w:id="55" w:name="_Hlk535401376"/>
            <w:r>
              <w:rPr>
                <w:rFonts w:eastAsiaTheme="minorEastAsia"/>
                <w:color w:val="000000"/>
                <w:kern w:val="0"/>
                <w:szCs w:val="21"/>
              </w:rPr>
              <w:t>HJ 543</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固定污染源废气 汞的测定 冷原子吸收分光光度法（暂行）</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 629</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固定污染源废气 二氧化硫的测定 非分散红外吸收法</w:t>
            </w:r>
          </w:p>
        </w:tc>
      </w:tr>
      <w:tr>
        <w:tblPrEx>
          <w:tblLayout w:type="fixed"/>
          <w:tblCellMar>
            <w:top w:w="0" w:type="dxa"/>
            <w:left w:w="108" w:type="dxa"/>
            <w:bottom w:w="0" w:type="dxa"/>
            <w:right w:w="108" w:type="dxa"/>
          </w:tblCellMar>
        </w:tblPrEx>
        <w:trPr>
          <w:trHeight w:val="270" w:hRule="atLeast"/>
        </w:trPr>
        <w:tc>
          <w:tcPr>
            <w:tcW w:w="1843" w:type="dxa"/>
            <w:tcBorders>
              <w:top w:val="nil"/>
              <w:left w:val="nil"/>
              <w:bottom w:val="nil"/>
              <w:right w:val="nil"/>
            </w:tcBorders>
            <w:shd w:val="clear" w:color="auto" w:fill="auto"/>
            <w:noWrap/>
            <w:vAlign w:val="center"/>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 692</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固定污染源废气 氮氧化物的测定 非分散红外吸收法</w:t>
            </w:r>
          </w:p>
        </w:tc>
      </w:tr>
      <w:tr>
        <w:tblPrEx>
          <w:tblLayout w:type="fixed"/>
          <w:tblCellMar>
            <w:top w:w="0" w:type="dxa"/>
            <w:left w:w="108" w:type="dxa"/>
            <w:bottom w:w="0" w:type="dxa"/>
            <w:right w:w="108" w:type="dxa"/>
          </w:tblCellMar>
        </w:tblPrEx>
        <w:trPr>
          <w:trHeight w:val="285" w:hRule="atLeast"/>
        </w:trPr>
        <w:tc>
          <w:tcPr>
            <w:tcW w:w="1843" w:type="dxa"/>
            <w:tcBorders>
              <w:top w:val="nil"/>
              <w:left w:val="nil"/>
              <w:bottom w:val="nil"/>
              <w:right w:val="nil"/>
            </w:tcBorders>
            <w:shd w:val="clear" w:color="auto" w:fill="auto"/>
            <w:noWrap/>
            <w:vAlign w:val="bottom"/>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 693</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固定污染源废气 氮氧化物的测定 定电位电解法</w:t>
            </w:r>
          </w:p>
        </w:tc>
      </w:tr>
      <w:bookmarkEnd w:id="55"/>
      <w:tr>
        <w:tblPrEx>
          <w:tblLayout w:type="fixed"/>
          <w:tblCellMar>
            <w:top w:w="0" w:type="dxa"/>
            <w:left w:w="108" w:type="dxa"/>
            <w:bottom w:w="0" w:type="dxa"/>
            <w:right w:w="108" w:type="dxa"/>
          </w:tblCellMar>
        </w:tblPrEx>
        <w:trPr>
          <w:trHeight w:val="285" w:hRule="atLeast"/>
        </w:trPr>
        <w:tc>
          <w:tcPr>
            <w:tcW w:w="1843" w:type="dxa"/>
            <w:tcBorders>
              <w:top w:val="nil"/>
              <w:left w:val="nil"/>
              <w:bottom w:val="nil"/>
              <w:right w:val="nil"/>
            </w:tcBorders>
            <w:shd w:val="clear" w:color="auto" w:fill="auto"/>
            <w:noWrap/>
            <w:vAlign w:val="bottom"/>
          </w:tcPr>
          <w:p>
            <w:pPr>
              <w:widowControl/>
              <w:spacing w:line="360" w:lineRule="exact"/>
              <w:ind w:firstLine="420" w:firstLineChars="200"/>
              <w:rPr>
                <w:rFonts w:eastAsiaTheme="minorEastAsia"/>
                <w:color w:val="000000"/>
                <w:kern w:val="0"/>
                <w:szCs w:val="21"/>
              </w:rPr>
            </w:pPr>
            <w:bookmarkStart w:id="56" w:name="_Hlk535401388"/>
            <w:r>
              <w:rPr>
                <w:rFonts w:eastAsiaTheme="minorEastAsia"/>
                <w:color w:val="000000"/>
                <w:kern w:val="0"/>
                <w:szCs w:val="21"/>
              </w:rPr>
              <w:t>HJ 836</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固定污染源废气 低浓度颗粒物的测定 重量法</w:t>
            </w:r>
          </w:p>
        </w:tc>
      </w:tr>
      <w:tr>
        <w:tblPrEx>
          <w:tblLayout w:type="fixed"/>
          <w:tblCellMar>
            <w:top w:w="0" w:type="dxa"/>
            <w:left w:w="108" w:type="dxa"/>
            <w:bottom w:w="0" w:type="dxa"/>
            <w:right w:w="108" w:type="dxa"/>
          </w:tblCellMar>
        </w:tblPrEx>
        <w:trPr>
          <w:trHeight w:val="285" w:hRule="atLeast"/>
        </w:trPr>
        <w:tc>
          <w:tcPr>
            <w:tcW w:w="1843" w:type="dxa"/>
            <w:tcBorders>
              <w:top w:val="nil"/>
              <w:left w:val="nil"/>
              <w:bottom w:val="nil"/>
              <w:right w:val="nil"/>
            </w:tcBorders>
            <w:shd w:val="clear" w:color="auto" w:fill="auto"/>
            <w:noWrap/>
          </w:tcPr>
          <w:p>
            <w:pPr>
              <w:widowControl/>
              <w:spacing w:line="360" w:lineRule="exact"/>
              <w:ind w:firstLine="420" w:firstLineChars="200"/>
              <w:rPr>
                <w:rFonts w:eastAsiaTheme="minorEastAsia"/>
                <w:color w:val="000000"/>
                <w:kern w:val="0"/>
                <w:szCs w:val="21"/>
              </w:rPr>
            </w:pPr>
            <w:r>
              <w:rPr>
                <w:rFonts w:eastAsiaTheme="minorEastAsia"/>
                <w:color w:val="000000"/>
                <w:kern w:val="0"/>
                <w:szCs w:val="21"/>
              </w:rPr>
              <w:t>HJ 917</w:t>
            </w:r>
          </w:p>
        </w:tc>
        <w:tc>
          <w:tcPr>
            <w:tcW w:w="6521" w:type="dxa"/>
            <w:tcBorders>
              <w:top w:val="nil"/>
              <w:left w:val="nil"/>
              <w:bottom w:val="nil"/>
              <w:right w:val="nil"/>
            </w:tcBorders>
            <w:shd w:val="clear" w:color="auto" w:fill="auto"/>
            <w:noWrap/>
            <w:vAlign w:val="bottom"/>
          </w:tcPr>
          <w:p>
            <w:pPr>
              <w:widowControl/>
              <w:spacing w:line="360" w:lineRule="exact"/>
              <w:jc w:val="left"/>
              <w:rPr>
                <w:color w:val="000000"/>
                <w:kern w:val="0"/>
                <w:szCs w:val="21"/>
              </w:rPr>
            </w:pPr>
            <w:r>
              <w:rPr>
                <w:color w:val="000000"/>
                <w:kern w:val="0"/>
                <w:szCs w:val="21"/>
              </w:rPr>
              <w:t>固定污染源废气 气态汞的测定 活性炭吸附/热裂解原子吸收分光光度法</w:t>
            </w:r>
          </w:p>
        </w:tc>
      </w:tr>
      <w:bookmarkEnd w:id="56"/>
    </w:tbl>
    <w:p>
      <w:pPr>
        <w:pStyle w:val="27"/>
        <w:spacing w:line="360" w:lineRule="exact"/>
        <w:ind w:firstLine="422" w:firstLineChars="201"/>
        <w:rPr>
          <w:rFonts w:ascii="Times New Roman"/>
        </w:rPr>
      </w:pPr>
      <w:r>
        <w:rPr>
          <w:rFonts w:ascii="Times New Roman" w:eastAsiaTheme="minorEastAsia"/>
        </w:rPr>
        <w:fldChar w:fldCharType="end"/>
      </w:r>
      <w:bookmarkStart w:id="57" w:name="_Hlk535401402"/>
      <w:r>
        <w:rPr>
          <w:rFonts w:ascii="Times New Roman"/>
        </w:rPr>
        <w:t>《污染源自动监控管理办法》（国家环境保护总局令 第28号）</w:t>
      </w:r>
    </w:p>
    <w:p>
      <w:pPr>
        <w:pStyle w:val="27"/>
        <w:spacing w:line="360" w:lineRule="exact"/>
        <w:ind w:firstLine="422" w:firstLineChars="201"/>
        <w:rPr>
          <w:rFonts w:ascii="Times New Roman"/>
        </w:rPr>
      </w:pPr>
      <w:r>
        <w:rPr>
          <w:rFonts w:ascii="Times New Roman"/>
        </w:rPr>
        <w:t>《环境监测管理办法》（国家环境保护总局令 第39号）</w:t>
      </w:r>
    </w:p>
    <w:bookmarkEnd w:id="47"/>
    <w:bookmarkEnd w:id="57"/>
    <w:p>
      <w:pPr>
        <w:pStyle w:val="20"/>
        <w:spacing w:line="360" w:lineRule="auto"/>
        <w:rPr>
          <w:rFonts w:ascii="Times New Roman"/>
          <w:sz w:val="22"/>
        </w:rPr>
      </w:pPr>
      <w:bookmarkStart w:id="58" w:name="_Toc513038583"/>
      <w:r>
        <w:rPr>
          <w:rFonts w:ascii="Times New Roman"/>
          <w:sz w:val="22"/>
        </w:rPr>
        <w:t>术语和定义</w:t>
      </w:r>
      <w:bookmarkEnd w:id="58"/>
    </w:p>
    <w:p>
      <w:pPr>
        <w:pStyle w:val="27"/>
        <w:rPr>
          <w:rFonts w:ascii="Times New Roman"/>
        </w:rPr>
      </w:pPr>
      <w:bookmarkStart w:id="59" w:name="_Hlk535417083"/>
      <w:r>
        <w:rPr>
          <w:rFonts w:ascii="Times New Roman"/>
        </w:rPr>
        <w:t>下列术语和定义适用于本标准。</w:t>
      </w:r>
    </w:p>
    <w:bookmarkEnd w:id="59"/>
    <w:p>
      <w:pPr>
        <w:pStyle w:val="21"/>
        <w:spacing w:line="360" w:lineRule="auto"/>
        <w:ind w:left="0"/>
        <w:rPr>
          <w:rFonts w:ascii="Times New Roman"/>
          <w:sz w:val="22"/>
        </w:rPr>
      </w:pPr>
      <w:bookmarkStart w:id="60" w:name="_Hlk535417108"/>
      <w:bookmarkStart w:id="61" w:name="_Hlk535401442"/>
      <w:r>
        <w:rPr>
          <w:rFonts w:ascii="Times New Roman"/>
          <w:sz w:val="22"/>
        </w:rPr>
        <w:t>锅炉  boiler</w:t>
      </w:r>
      <w:bookmarkEnd w:id="60"/>
    </w:p>
    <w:p>
      <w:pPr>
        <w:pStyle w:val="27"/>
        <w:spacing w:line="360" w:lineRule="auto"/>
        <w:rPr>
          <w:rFonts w:ascii="Times New Roman"/>
        </w:rPr>
      </w:pPr>
      <w:bookmarkStart w:id="62" w:name="_Hlk535417224"/>
      <w:r>
        <w:rPr>
          <w:rFonts w:ascii="Times New Roman"/>
        </w:rPr>
        <w:t>锅炉是利用燃料燃烧释放的热能或其他热能加热热水或其他工质，以生产规定参数（温度，压力）和品质的蒸汽、热水或其他工质的设备。</w:t>
      </w:r>
      <w:bookmarkEnd w:id="61"/>
      <w:bookmarkEnd w:id="62"/>
    </w:p>
    <w:p>
      <w:pPr>
        <w:pStyle w:val="21"/>
        <w:spacing w:line="360" w:lineRule="auto"/>
        <w:ind w:left="0"/>
        <w:rPr>
          <w:rFonts w:ascii="Times New Roman"/>
          <w:sz w:val="22"/>
        </w:rPr>
      </w:pPr>
      <w:bookmarkStart w:id="63" w:name="_Hlk535417264"/>
      <w:bookmarkStart w:id="64" w:name="_Hlk535417238"/>
      <w:bookmarkStart w:id="65" w:name="_Hlk535401509"/>
      <w:r>
        <w:rPr>
          <w:rFonts w:ascii="Times New Roman"/>
          <w:sz w:val="22"/>
        </w:rPr>
        <w:t>在用锅炉</w:t>
      </w:r>
      <w:bookmarkEnd w:id="63"/>
      <w:r>
        <w:rPr>
          <w:rFonts w:ascii="Times New Roman"/>
          <w:sz w:val="22"/>
        </w:rPr>
        <w:t xml:space="preserve">  </w:t>
      </w:r>
      <w:bookmarkStart w:id="66" w:name="_Hlk535417255"/>
      <w:r>
        <w:rPr>
          <w:rFonts w:ascii="Times New Roman"/>
          <w:sz w:val="22"/>
        </w:rPr>
        <w:t>in-use boiler</w:t>
      </w:r>
      <w:bookmarkEnd w:id="66"/>
    </w:p>
    <w:bookmarkEnd w:id="64"/>
    <w:p>
      <w:pPr>
        <w:pStyle w:val="27"/>
        <w:spacing w:line="360" w:lineRule="auto"/>
        <w:rPr>
          <w:rFonts w:ascii="Times New Roman"/>
        </w:rPr>
      </w:pPr>
      <w:bookmarkStart w:id="67" w:name="_Hlk535417287"/>
      <w:r>
        <w:rPr>
          <w:rFonts w:ascii="Times New Roman"/>
        </w:rPr>
        <w:t>指本标准实施之日前，已建成投产或环境影响评价文件已通过审批的锅炉</w:t>
      </w:r>
      <w:bookmarkEnd w:id="67"/>
      <w:r>
        <w:rPr>
          <w:rFonts w:ascii="Times New Roman"/>
        </w:rPr>
        <w:t>。</w:t>
      </w:r>
      <w:bookmarkEnd w:id="65"/>
    </w:p>
    <w:p>
      <w:pPr>
        <w:pStyle w:val="21"/>
        <w:spacing w:line="360" w:lineRule="auto"/>
        <w:ind w:left="0"/>
        <w:rPr>
          <w:rFonts w:ascii="Times New Roman"/>
        </w:rPr>
      </w:pPr>
      <w:bookmarkStart w:id="68" w:name="_Hlk535417296"/>
      <w:bookmarkStart w:id="69" w:name="_Hlk535401535"/>
      <w:r>
        <w:rPr>
          <w:rFonts w:ascii="Times New Roman"/>
          <w:sz w:val="22"/>
        </w:rPr>
        <w:t>新建锅炉</w:t>
      </w:r>
      <w:bookmarkEnd w:id="68"/>
      <w:r>
        <w:rPr>
          <w:rFonts w:ascii="Times New Roman"/>
          <w:sz w:val="22"/>
        </w:rPr>
        <w:t xml:space="preserve">  </w:t>
      </w:r>
      <w:bookmarkStart w:id="70" w:name="_Hlk535417307"/>
      <w:r>
        <w:rPr>
          <w:rFonts w:ascii="Times New Roman"/>
          <w:sz w:val="22"/>
        </w:rPr>
        <w:t>new boiler</w:t>
      </w:r>
      <w:bookmarkEnd w:id="70"/>
    </w:p>
    <w:p>
      <w:pPr>
        <w:pStyle w:val="27"/>
        <w:spacing w:line="360" w:lineRule="auto"/>
        <w:rPr>
          <w:rFonts w:ascii="Times New Roman"/>
        </w:rPr>
      </w:pPr>
      <w:bookmarkStart w:id="71" w:name="_Hlk535417317"/>
      <w:r>
        <w:rPr>
          <w:rFonts w:ascii="Times New Roman"/>
        </w:rPr>
        <w:t>本标准实施之日起，环境影响评价文件通过审批的新建、改建和扩建的锅炉建设项目</w:t>
      </w:r>
      <w:bookmarkEnd w:id="71"/>
      <w:r>
        <w:rPr>
          <w:rFonts w:ascii="Times New Roman"/>
        </w:rPr>
        <w:t>。</w:t>
      </w:r>
      <w:bookmarkEnd w:id="69"/>
    </w:p>
    <w:p>
      <w:pPr>
        <w:pStyle w:val="21"/>
        <w:spacing w:line="360" w:lineRule="auto"/>
        <w:ind w:left="0"/>
        <w:rPr>
          <w:rFonts w:ascii="Times New Roman"/>
        </w:rPr>
      </w:pPr>
      <w:bookmarkStart w:id="72" w:name="_Hlk535417338"/>
      <w:bookmarkStart w:id="73" w:name="_Hlk535401579"/>
      <w:r>
        <w:rPr>
          <w:rFonts w:ascii="Times New Roman"/>
          <w:sz w:val="22"/>
        </w:rPr>
        <w:t xml:space="preserve">生物质成型燃料  </w:t>
      </w:r>
      <w:r>
        <w:rPr>
          <w:rFonts w:ascii="Times New Roman"/>
          <w:sz w:val="22"/>
          <w:szCs w:val="21"/>
        </w:rPr>
        <w:t>biomass molded fue</w:t>
      </w:r>
      <w:bookmarkEnd w:id="72"/>
      <w:r>
        <w:rPr>
          <w:rFonts w:ascii="Times New Roman"/>
          <w:sz w:val="22"/>
          <w:szCs w:val="21"/>
        </w:rPr>
        <w:t>l</w:t>
      </w:r>
    </w:p>
    <w:p>
      <w:pPr>
        <w:spacing w:line="360" w:lineRule="auto"/>
        <w:ind w:firstLine="420" w:firstLineChars="200"/>
        <w:rPr>
          <w:kern w:val="0"/>
          <w:szCs w:val="20"/>
        </w:rPr>
      </w:pPr>
      <w:bookmarkStart w:id="74" w:name="_Hlk535417354"/>
      <w:r>
        <w:t>生物质原料经过机械加工成型，具有规则形状和一定尺寸的燃料产品。</w:t>
      </w:r>
      <w:bookmarkEnd w:id="74"/>
    </w:p>
    <w:p>
      <w:pPr>
        <w:pStyle w:val="21"/>
        <w:spacing w:line="360" w:lineRule="auto"/>
        <w:ind w:left="0"/>
        <w:rPr>
          <w:rFonts w:ascii="Times New Roman"/>
        </w:rPr>
      </w:pPr>
      <w:bookmarkStart w:id="75" w:name="_Hlk535417367"/>
      <w:r>
        <w:rPr>
          <w:rFonts w:ascii="Times New Roman"/>
          <w:sz w:val="22"/>
        </w:rPr>
        <w:t>有机热载体锅炉  organic fluid boile</w:t>
      </w:r>
      <w:bookmarkEnd w:id="75"/>
      <w:r>
        <w:rPr>
          <w:rFonts w:ascii="Times New Roman"/>
          <w:sz w:val="22"/>
        </w:rPr>
        <w:t>r</w:t>
      </w:r>
    </w:p>
    <w:p>
      <w:pPr>
        <w:pStyle w:val="27"/>
        <w:spacing w:line="360" w:lineRule="auto"/>
        <w:rPr>
          <w:rFonts w:ascii="Times New Roman"/>
        </w:rPr>
      </w:pPr>
      <w:bookmarkStart w:id="76" w:name="_Hlk535417380"/>
      <w:r>
        <w:rPr>
          <w:rFonts w:ascii="Times New Roman"/>
        </w:rPr>
        <w:t>以有机质液体作为热载体工质的锅炉。</w:t>
      </w:r>
      <w:bookmarkEnd w:id="76"/>
    </w:p>
    <w:bookmarkEnd w:id="73"/>
    <w:p>
      <w:pPr>
        <w:pStyle w:val="21"/>
        <w:spacing w:line="360" w:lineRule="auto"/>
        <w:ind w:left="0"/>
        <w:rPr>
          <w:rFonts w:ascii="Times New Roman" w:eastAsia="宋体"/>
          <w:sz w:val="22"/>
        </w:rPr>
      </w:pPr>
      <w:bookmarkStart w:id="77" w:name="_Hlk535417395"/>
      <w:r>
        <w:rPr>
          <w:rFonts w:ascii="Times New Roman"/>
          <w:sz w:val="22"/>
        </w:rPr>
        <w:t xml:space="preserve">标准状态 </w:t>
      </w:r>
      <w:r>
        <w:rPr>
          <w:rFonts w:ascii="Times New Roman" w:eastAsiaTheme="minorEastAsia"/>
          <w:sz w:val="22"/>
        </w:rPr>
        <w:t xml:space="preserve"> </w:t>
      </w:r>
      <w:r>
        <w:rPr>
          <w:rFonts w:ascii="Times New Roman"/>
          <w:sz w:val="22"/>
        </w:rPr>
        <w:t>standard conditio</w:t>
      </w:r>
      <w:bookmarkEnd w:id="77"/>
      <w:r>
        <w:rPr>
          <w:rFonts w:ascii="Times New Roman"/>
          <w:sz w:val="22"/>
        </w:rPr>
        <w:t>n</w:t>
      </w:r>
    </w:p>
    <w:p>
      <w:pPr>
        <w:pStyle w:val="27"/>
        <w:spacing w:line="360" w:lineRule="auto"/>
        <w:rPr>
          <w:rFonts w:ascii="Times New Roman"/>
        </w:rPr>
      </w:pPr>
      <w:bookmarkStart w:id="78" w:name="_Hlk535417413"/>
      <w:r>
        <w:rPr>
          <w:rFonts w:ascii="Times New Roman"/>
        </w:rPr>
        <w:t>锅炉烟气在温度为273K，压力为</w:t>
      </w:r>
      <w:r>
        <w:rPr>
          <w:rFonts w:ascii="Times New Roman" w:eastAsiaTheme="minorEastAsia"/>
        </w:rPr>
        <w:t>101325Pa时</w:t>
      </w:r>
      <w:r>
        <w:rPr>
          <w:rFonts w:ascii="Times New Roman"/>
        </w:rPr>
        <w:t>的状态，简称</w:t>
      </w:r>
      <w:r>
        <w:rPr>
          <w:rFonts w:asciiTheme="minorEastAsia" w:hAnsiTheme="minorEastAsia" w:eastAsiaTheme="minorEastAsia"/>
        </w:rPr>
        <w:t>“标态”</w:t>
      </w:r>
      <w:r>
        <w:rPr>
          <w:rFonts w:ascii="Times New Roman"/>
        </w:rPr>
        <w:t>。本标准规定的排放浓度均指标准状态下干烟气中的数值。</w:t>
      </w:r>
    </w:p>
    <w:bookmarkEnd w:id="78"/>
    <w:p>
      <w:pPr>
        <w:pStyle w:val="21"/>
        <w:spacing w:line="360" w:lineRule="auto"/>
        <w:ind w:left="0"/>
        <w:rPr>
          <w:rFonts w:ascii="Times New Roman"/>
          <w:sz w:val="22"/>
        </w:rPr>
      </w:pPr>
      <w:bookmarkStart w:id="79" w:name="_Hlk535417441"/>
      <w:bookmarkStart w:id="80" w:name="_Hlk535401715"/>
      <w:r>
        <w:rPr>
          <w:rFonts w:ascii="Times New Roman"/>
          <w:sz w:val="22"/>
        </w:rPr>
        <w:t>烟囱高度  stack heigh</w:t>
      </w:r>
      <w:bookmarkEnd w:id="79"/>
      <w:r>
        <w:rPr>
          <w:rFonts w:ascii="Times New Roman"/>
          <w:sz w:val="22"/>
        </w:rPr>
        <w:t>t</w:t>
      </w:r>
    </w:p>
    <w:p>
      <w:pPr>
        <w:pStyle w:val="27"/>
        <w:spacing w:line="360" w:lineRule="auto"/>
        <w:rPr>
          <w:rFonts w:ascii="Times New Roman"/>
        </w:rPr>
      </w:pPr>
      <w:bookmarkStart w:id="81" w:name="_Hlk535417457"/>
      <w:r>
        <w:rPr>
          <w:rFonts w:ascii="Times New Roman"/>
        </w:rPr>
        <w:t>指从烟囱（或锅炉房）所在的地平面至烟囱出口的高度</w:t>
      </w:r>
      <w:bookmarkEnd w:id="81"/>
      <w:r>
        <w:rPr>
          <w:rFonts w:ascii="Times New Roman"/>
        </w:rPr>
        <w:t>。</w:t>
      </w:r>
    </w:p>
    <w:p>
      <w:pPr>
        <w:pStyle w:val="21"/>
        <w:spacing w:line="360" w:lineRule="auto"/>
        <w:ind w:left="0"/>
        <w:rPr>
          <w:rFonts w:ascii="Times New Roman"/>
          <w:sz w:val="22"/>
        </w:rPr>
      </w:pPr>
      <w:bookmarkStart w:id="82" w:name="_Hlk535417468"/>
      <w:r>
        <w:rPr>
          <w:rFonts w:ascii="Times New Roman"/>
          <w:sz w:val="22"/>
        </w:rPr>
        <w:t>氧含量  O</w:t>
      </w:r>
      <w:r>
        <w:rPr>
          <w:rFonts w:ascii="Times New Roman"/>
          <w:sz w:val="22"/>
          <w:vertAlign w:val="subscript"/>
        </w:rPr>
        <w:t>2</w:t>
      </w:r>
      <w:r>
        <w:rPr>
          <w:rFonts w:ascii="Times New Roman"/>
          <w:sz w:val="22"/>
        </w:rPr>
        <w:t xml:space="preserve"> content</w:t>
      </w:r>
    </w:p>
    <w:p>
      <w:pPr>
        <w:pStyle w:val="27"/>
        <w:spacing w:line="360" w:lineRule="auto"/>
        <w:rPr>
          <w:rFonts w:ascii="Times New Roman"/>
        </w:rPr>
      </w:pPr>
      <w:r>
        <w:rPr>
          <w:rFonts w:ascii="Times New Roman"/>
        </w:rPr>
        <w:t>燃料燃烧后，烟气中含有的多余的自由氧，以干基容积百分数来表示。</w:t>
      </w:r>
    </w:p>
    <w:p>
      <w:pPr>
        <w:pStyle w:val="21"/>
        <w:spacing w:line="360" w:lineRule="auto"/>
        <w:ind w:left="0"/>
        <w:rPr>
          <w:rFonts w:ascii="Times New Roman"/>
          <w:sz w:val="22"/>
        </w:rPr>
      </w:pPr>
      <w:r>
        <w:rPr>
          <w:rFonts w:ascii="Times New Roman"/>
          <w:sz w:val="22"/>
        </w:rPr>
        <w:t>大气污染物特别排放限值  special limitation for air pollutants</w:t>
      </w:r>
    </w:p>
    <w:p>
      <w:pPr>
        <w:pStyle w:val="27"/>
        <w:spacing w:line="360" w:lineRule="auto"/>
        <w:ind w:right="-57" w:rightChars="-27" w:firstLine="315" w:firstLineChars="150"/>
        <w:rPr>
          <w:rFonts w:ascii="Times New Roman"/>
        </w:rPr>
      </w:pPr>
      <w:r>
        <w:rPr>
          <w:rFonts w:ascii="Times New Roman"/>
        </w:rPr>
        <w:t>为防治大气污染</w:t>
      </w:r>
      <w:r>
        <w:rPr>
          <w:rFonts w:hint="eastAsia" w:ascii="Times New Roman"/>
        </w:rPr>
        <w:t>，</w:t>
      </w:r>
      <w:r>
        <w:rPr>
          <w:rFonts w:ascii="Times New Roman"/>
        </w:rPr>
        <w:t>改善环境质量</w:t>
      </w:r>
      <w:r>
        <w:rPr>
          <w:rFonts w:hint="eastAsia" w:ascii="Times New Roman"/>
        </w:rPr>
        <w:t>，</w:t>
      </w:r>
      <w:r>
        <w:rPr>
          <w:rFonts w:ascii="Times New Roman"/>
        </w:rPr>
        <w:t>进一步降低大气污染源的排放强度</w:t>
      </w:r>
      <w:r>
        <w:rPr>
          <w:rFonts w:hint="eastAsia" w:ascii="Times New Roman"/>
        </w:rPr>
        <w:t>，</w:t>
      </w:r>
      <w:r>
        <w:rPr>
          <w:rFonts w:ascii="Times New Roman"/>
        </w:rPr>
        <w:t>更加严格地控制排污行为而制定并实施的大气污染物排放限值，该限值的控制水平达到国际先进或领先程度。</w:t>
      </w:r>
    </w:p>
    <w:bookmarkEnd w:id="80"/>
    <w:bookmarkEnd w:id="82"/>
    <w:p>
      <w:pPr>
        <w:pStyle w:val="20"/>
        <w:rPr>
          <w:rFonts w:ascii="Times New Roman"/>
          <w:sz w:val="22"/>
        </w:rPr>
      </w:pPr>
      <w:r>
        <w:rPr>
          <w:rFonts w:ascii="Times New Roman"/>
          <w:sz w:val="22"/>
        </w:rPr>
        <w:t xml:space="preserve"> </w:t>
      </w:r>
      <w:bookmarkStart w:id="83" w:name="_Toc513038584"/>
      <w:r>
        <w:rPr>
          <w:rFonts w:ascii="Times New Roman"/>
          <w:sz w:val="22"/>
        </w:rPr>
        <w:t>大气污染物排放控制要求</w:t>
      </w:r>
      <w:bookmarkEnd w:id="83"/>
    </w:p>
    <w:p>
      <w:pPr>
        <w:pStyle w:val="21"/>
        <w:spacing w:line="360" w:lineRule="auto"/>
        <w:ind w:left="0"/>
        <w:rPr>
          <w:rFonts w:ascii="Times New Roman" w:eastAsiaTheme="minorEastAsia"/>
        </w:rPr>
      </w:pPr>
      <w:bookmarkStart w:id="84" w:name="OLE_LINK21"/>
      <w:bookmarkStart w:id="85" w:name="OLE_LINK22"/>
      <w:bookmarkStart w:id="86" w:name="OLE_LINK8"/>
      <w:bookmarkStart w:id="87" w:name="OLE_LINK10"/>
      <w:r>
        <w:rPr>
          <w:rFonts w:ascii="Times New Roman" w:eastAsiaTheme="minorEastAsia"/>
        </w:rPr>
        <w:t>在用锅炉自2019年</w:t>
      </w:r>
      <w:r>
        <w:rPr>
          <w:rFonts w:ascii="Times New Roman"/>
        </w:rPr>
        <w:t>7</w:t>
      </w:r>
      <w:r>
        <w:rPr>
          <w:rFonts w:ascii="Times New Roman" w:eastAsiaTheme="minorEastAsia"/>
        </w:rPr>
        <w:t>月1日起执行表1规定的</w:t>
      </w:r>
      <w:bookmarkStart w:id="88" w:name="OLE_LINK13"/>
      <w:r>
        <w:rPr>
          <w:rFonts w:ascii="Times New Roman" w:eastAsiaTheme="minorEastAsia"/>
        </w:rPr>
        <w:t>大气污染物</w:t>
      </w:r>
      <w:bookmarkEnd w:id="88"/>
      <w:r>
        <w:rPr>
          <w:rFonts w:ascii="Times New Roman" w:eastAsiaTheme="minorEastAsia"/>
        </w:rPr>
        <w:t>排放限值，自2020年7月1日起执行表2规定的大气污染物排放限值。</w:t>
      </w:r>
      <w:bookmarkEnd w:id="84"/>
      <w:bookmarkEnd w:id="85"/>
    </w:p>
    <w:bookmarkEnd w:id="86"/>
    <w:bookmarkEnd w:id="87"/>
    <w:p>
      <w:pPr>
        <w:pStyle w:val="27"/>
        <w:spacing w:before="156" w:beforeLines="50"/>
        <w:ind w:firstLine="0" w:firstLineChars="0"/>
        <w:jc w:val="center"/>
        <w:rPr>
          <w:rFonts w:ascii="Times New Roman" w:eastAsia="黑体"/>
          <w:szCs w:val="21"/>
        </w:rPr>
      </w:pPr>
      <w:bookmarkStart w:id="89" w:name="OLE_LINK25"/>
      <w:bookmarkStart w:id="90" w:name="OLE_LINK26"/>
      <w:bookmarkStart w:id="91" w:name="_Hlk535416055"/>
      <w:bookmarkStart w:id="92" w:name="_Hlk504570139"/>
      <w:r>
        <w:rPr>
          <w:rFonts w:ascii="Times New Roman" w:eastAsia="黑体"/>
          <w:szCs w:val="21"/>
        </w:rPr>
        <w:t>表1  在用锅炉大气污染物排放浓度限值</w:t>
      </w:r>
    </w:p>
    <w:bookmarkEnd w:id="89"/>
    <w:bookmarkEnd w:id="90"/>
    <w:p>
      <w:pPr>
        <w:pStyle w:val="27"/>
        <w:ind w:firstLine="360"/>
        <w:jc w:val="right"/>
        <w:rPr>
          <w:rFonts w:ascii="Times New Roman"/>
          <w:sz w:val="18"/>
          <w:szCs w:val="18"/>
          <w:vertAlign w:val="superscript"/>
        </w:rPr>
      </w:pPr>
      <w:bookmarkStart w:id="93" w:name="_Hlk535401963"/>
      <w:bookmarkStart w:id="94" w:name="_Hlk535402080"/>
      <w:r>
        <w:rPr>
          <w:rFonts w:ascii="Times New Roman"/>
          <w:sz w:val="18"/>
          <w:szCs w:val="18"/>
        </w:rPr>
        <w:t>单位：</w:t>
      </w:r>
      <w:r>
        <w:rPr>
          <w:rFonts w:ascii="Times New Roman" w:eastAsiaTheme="minorEastAsia"/>
          <w:sz w:val="18"/>
          <w:szCs w:val="18"/>
        </w:rPr>
        <w:t>mg/m</w:t>
      </w:r>
      <w:r>
        <w:rPr>
          <w:rFonts w:ascii="Times New Roman" w:eastAsiaTheme="minorEastAsia"/>
          <w:sz w:val="18"/>
          <w:szCs w:val="18"/>
          <w:vertAlign w:val="superscript"/>
        </w:rPr>
        <w:t>3</w:t>
      </w:r>
    </w:p>
    <w:tbl>
      <w:tblPr>
        <w:tblStyle w:val="11"/>
        <w:tblW w:w="85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8"/>
        <w:gridCol w:w="1033"/>
        <w:gridCol w:w="1019"/>
        <w:gridCol w:w="1029"/>
        <w:gridCol w:w="1558"/>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2748" w:type="dxa"/>
            <w:vMerge w:val="restart"/>
            <w:vAlign w:val="center"/>
          </w:tcPr>
          <w:p>
            <w:pPr>
              <w:pStyle w:val="27"/>
              <w:ind w:firstLine="0" w:firstLineChars="0"/>
              <w:jc w:val="center"/>
              <w:rPr>
                <w:rFonts w:ascii="Times New Roman" w:eastAsiaTheme="minorEastAsia"/>
                <w:sz w:val="18"/>
                <w:szCs w:val="18"/>
              </w:rPr>
            </w:pPr>
            <w:bookmarkStart w:id="95" w:name="OLE_LINK24"/>
            <w:bookmarkStart w:id="96" w:name="OLE_LINK23"/>
            <w:r>
              <w:rPr>
                <w:rFonts w:ascii="Times New Roman" w:eastAsiaTheme="minorEastAsia"/>
                <w:sz w:val="18"/>
                <w:szCs w:val="18"/>
              </w:rPr>
              <w:t>污染物项目</w:t>
            </w:r>
          </w:p>
        </w:tc>
        <w:tc>
          <w:tcPr>
            <w:tcW w:w="4639" w:type="dxa"/>
            <w:gridSpan w:val="4"/>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限值</w:t>
            </w:r>
          </w:p>
        </w:tc>
        <w:tc>
          <w:tcPr>
            <w:tcW w:w="1163" w:type="dxa"/>
            <w:vMerge w:val="restart"/>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48" w:type="dxa"/>
            <w:vMerge w:val="continue"/>
            <w:vAlign w:val="center"/>
          </w:tcPr>
          <w:p>
            <w:pPr>
              <w:pStyle w:val="27"/>
              <w:ind w:firstLine="0" w:firstLineChars="0"/>
              <w:jc w:val="center"/>
              <w:rPr>
                <w:rFonts w:ascii="Times New Roman" w:eastAsiaTheme="minorEastAsia"/>
                <w:sz w:val="18"/>
                <w:szCs w:val="18"/>
              </w:rPr>
            </w:pPr>
          </w:p>
        </w:tc>
        <w:tc>
          <w:tcPr>
            <w:tcW w:w="1033"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燃煤锅炉</w:t>
            </w:r>
          </w:p>
        </w:tc>
        <w:tc>
          <w:tcPr>
            <w:tcW w:w="101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燃油锅炉</w:t>
            </w:r>
          </w:p>
        </w:tc>
        <w:tc>
          <w:tcPr>
            <w:tcW w:w="102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燃气锅炉</w:t>
            </w:r>
          </w:p>
        </w:tc>
        <w:tc>
          <w:tcPr>
            <w:tcW w:w="1558" w:type="dxa"/>
            <w:vAlign w:val="center"/>
          </w:tcPr>
          <w:p>
            <w:pPr>
              <w:pStyle w:val="27"/>
              <w:ind w:firstLine="0" w:firstLineChars="0"/>
              <w:jc w:val="center"/>
              <w:rPr>
                <w:rFonts w:ascii="Times New Roman" w:eastAsiaTheme="minorEastAsia"/>
                <w:sz w:val="18"/>
                <w:szCs w:val="18"/>
              </w:rPr>
            </w:pPr>
            <w:bookmarkStart w:id="97" w:name="_Hlk535418732"/>
            <w:r>
              <w:rPr>
                <w:rFonts w:ascii="Times New Roman" w:eastAsiaTheme="minorEastAsia"/>
                <w:sz w:val="18"/>
                <w:szCs w:val="18"/>
              </w:rPr>
              <w:t>燃</w:t>
            </w:r>
            <w:bookmarkEnd w:id="97"/>
            <w:r>
              <w:rPr>
                <w:rFonts w:ascii="Times New Roman" w:eastAsiaTheme="minorEastAsia"/>
                <w:sz w:val="18"/>
                <w:szCs w:val="18"/>
              </w:rPr>
              <w:t>生物质成型燃料锅炉</w:t>
            </w:r>
          </w:p>
        </w:tc>
        <w:tc>
          <w:tcPr>
            <w:tcW w:w="1163" w:type="dxa"/>
            <w:vMerge w:val="continue"/>
            <w:vAlign w:val="center"/>
          </w:tcPr>
          <w:p>
            <w:pPr>
              <w:pStyle w:val="27"/>
              <w:ind w:firstLine="0" w:firstLineChars="0"/>
              <w:jc w:val="center"/>
              <w:rPr>
                <w:rFonts w:ascii="Times New Roman" w:eastAsiaTheme="minorEastAsia"/>
                <w:sz w:val="18"/>
                <w:szCs w:val="18"/>
              </w:rPr>
            </w:pPr>
          </w:p>
        </w:tc>
      </w:tr>
      <w:bookmarkEnd w:id="91"/>
      <w:bookmarkEnd w:id="95"/>
      <w:bookmarkEnd w:id="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48"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颗粒物</w:t>
            </w:r>
          </w:p>
        </w:tc>
        <w:tc>
          <w:tcPr>
            <w:tcW w:w="1033" w:type="dxa"/>
            <w:vAlign w:val="center"/>
          </w:tcPr>
          <w:p>
            <w:pPr>
              <w:pStyle w:val="27"/>
              <w:ind w:firstLine="0" w:firstLineChars="0"/>
              <w:jc w:val="center"/>
              <w:rPr>
                <w:rFonts w:ascii="Times New Roman" w:eastAsiaTheme="minorEastAsia"/>
                <w:color w:val="000000"/>
                <w:sz w:val="18"/>
                <w:szCs w:val="18"/>
                <w:vertAlign w:val="superscript"/>
              </w:rPr>
            </w:pPr>
            <w:r>
              <w:rPr>
                <w:rFonts w:ascii="Times New Roman" w:eastAsiaTheme="minorEastAsia"/>
                <w:color w:val="000000"/>
                <w:sz w:val="18"/>
                <w:szCs w:val="18"/>
              </w:rPr>
              <w:t>30</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color w:val="000000"/>
                <w:sz w:val="18"/>
                <w:szCs w:val="18"/>
              </w:rPr>
              <w:t>50</w:t>
            </w:r>
          </w:p>
        </w:tc>
        <w:tc>
          <w:tcPr>
            <w:tcW w:w="1019" w:type="dxa"/>
            <w:vAlign w:val="center"/>
          </w:tcPr>
          <w:p>
            <w:pPr>
              <w:pStyle w:val="27"/>
              <w:ind w:firstLine="0" w:firstLineChars="0"/>
              <w:jc w:val="center"/>
              <w:rPr>
                <w:rFonts w:ascii="Times New Roman" w:eastAsiaTheme="minorEastAsia"/>
                <w:sz w:val="18"/>
                <w:szCs w:val="18"/>
              </w:rPr>
            </w:pPr>
            <w:r>
              <w:rPr>
                <w:rFonts w:ascii="Times New Roman" w:eastAsiaTheme="minorEastAsia"/>
                <w:color w:val="000000"/>
                <w:sz w:val="18"/>
                <w:szCs w:val="18"/>
              </w:rPr>
              <w:t>30</w:t>
            </w:r>
          </w:p>
        </w:tc>
        <w:tc>
          <w:tcPr>
            <w:tcW w:w="1029" w:type="dxa"/>
            <w:vAlign w:val="center"/>
          </w:tcPr>
          <w:p>
            <w:pPr>
              <w:pStyle w:val="27"/>
              <w:ind w:firstLine="0" w:firstLineChars="0"/>
              <w:jc w:val="center"/>
              <w:rPr>
                <w:rFonts w:ascii="Times New Roman" w:eastAsiaTheme="minorEastAsia"/>
                <w:sz w:val="18"/>
                <w:szCs w:val="18"/>
              </w:rPr>
            </w:pPr>
            <w:r>
              <w:rPr>
                <w:rFonts w:ascii="Times New Roman" w:eastAsiaTheme="minorEastAsia"/>
                <w:color w:val="000000"/>
                <w:sz w:val="18"/>
                <w:szCs w:val="18"/>
              </w:rPr>
              <w:t>20</w:t>
            </w:r>
          </w:p>
        </w:tc>
        <w:tc>
          <w:tcPr>
            <w:tcW w:w="1558" w:type="dxa"/>
            <w:vAlign w:val="center"/>
          </w:tcPr>
          <w:p>
            <w:pPr>
              <w:pStyle w:val="27"/>
              <w:ind w:firstLine="0" w:firstLineChars="0"/>
              <w:jc w:val="center"/>
              <w:rPr>
                <w:rFonts w:ascii="Times New Roman" w:eastAsiaTheme="minorEastAsia"/>
                <w:sz w:val="18"/>
                <w:szCs w:val="18"/>
              </w:rPr>
            </w:pPr>
            <w:r>
              <w:rPr>
                <w:rFonts w:ascii="Times New Roman" w:eastAsiaTheme="minorEastAsia"/>
                <w:color w:val="000000"/>
                <w:sz w:val="18"/>
                <w:szCs w:val="18"/>
              </w:rPr>
              <w:t>20</w:t>
            </w:r>
          </w:p>
        </w:tc>
        <w:tc>
          <w:tcPr>
            <w:tcW w:w="1163" w:type="dxa"/>
            <w:vMerge w:val="restart"/>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烟囱或烟道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48"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二氧化硫</w:t>
            </w:r>
          </w:p>
        </w:tc>
        <w:tc>
          <w:tcPr>
            <w:tcW w:w="1033" w:type="dxa"/>
            <w:vAlign w:val="center"/>
          </w:tcPr>
          <w:p>
            <w:pPr>
              <w:pStyle w:val="27"/>
              <w:ind w:firstLine="0" w:firstLineChars="0"/>
              <w:jc w:val="center"/>
              <w:rPr>
                <w:rFonts w:ascii="Times New Roman" w:eastAsiaTheme="minorEastAsia"/>
                <w:sz w:val="18"/>
                <w:szCs w:val="18"/>
                <w:vertAlign w:val="superscript"/>
              </w:rPr>
            </w:pPr>
            <w:r>
              <w:rPr>
                <w:rFonts w:ascii="Times New Roman" w:eastAsiaTheme="minorEastAsia"/>
                <w:sz w:val="18"/>
                <w:szCs w:val="18"/>
              </w:rPr>
              <w:t>200</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sz w:val="18"/>
                <w:szCs w:val="18"/>
              </w:rPr>
              <w:t>300</w:t>
            </w:r>
          </w:p>
        </w:tc>
        <w:tc>
          <w:tcPr>
            <w:tcW w:w="1019" w:type="dxa"/>
            <w:vAlign w:val="center"/>
          </w:tcPr>
          <w:p>
            <w:pPr>
              <w:pStyle w:val="27"/>
              <w:ind w:firstLine="0" w:firstLineChars="0"/>
              <w:jc w:val="center"/>
              <w:rPr>
                <w:rFonts w:ascii="Times New Roman" w:eastAsiaTheme="minorEastAsia"/>
                <w:sz w:val="18"/>
                <w:szCs w:val="18"/>
                <w:vertAlign w:val="superscript"/>
              </w:rPr>
            </w:pPr>
            <w:r>
              <w:rPr>
                <w:rFonts w:ascii="Times New Roman" w:eastAsiaTheme="minorEastAsia"/>
                <w:sz w:val="18"/>
                <w:szCs w:val="18"/>
              </w:rPr>
              <w:t>100</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sz w:val="18"/>
                <w:szCs w:val="18"/>
              </w:rPr>
              <w:t>200</w:t>
            </w:r>
          </w:p>
        </w:tc>
        <w:tc>
          <w:tcPr>
            <w:tcW w:w="102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50</w:t>
            </w:r>
          </w:p>
        </w:tc>
        <w:tc>
          <w:tcPr>
            <w:tcW w:w="1558" w:type="dxa"/>
            <w:vAlign w:val="center"/>
          </w:tcPr>
          <w:p>
            <w:pPr>
              <w:pStyle w:val="27"/>
              <w:ind w:firstLine="0" w:firstLineChars="0"/>
              <w:jc w:val="center"/>
              <w:rPr>
                <w:rFonts w:ascii="Times New Roman" w:eastAsiaTheme="minorEastAsia"/>
                <w:sz w:val="18"/>
                <w:szCs w:val="18"/>
                <w:vertAlign w:val="superscript"/>
              </w:rPr>
            </w:pPr>
            <w:r>
              <w:rPr>
                <w:rFonts w:ascii="Times New Roman" w:eastAsiaTheme="minorEastAsia"/>
                <w:sz w:val="18"/>
                <w:szCs w:val="18"/>
              </w:rPr>
              <w:t>35</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sz w:val="18"/>
                <w:szCs w:val="18"/>
              </w:rPr>
              <w:t>50</w:t>
            </w:r>
          </w:p>
        </w:tc>
        <w:tc>
          <w:tcPr>
            <w:tcW w:w="1163" w:type="dxa"/>
            <w:vMerge w:val="continue"/>
            <w:vAlign w:val="center"/>
          </w:tcPr>
          <w:p>
            <w:pPr>
              <w:pStyle w:val="27"/>
              <w:ind w:firstLine="36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48"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氮氧化物</w:t>
            </w:r>
          </w:p>
        </w:tc>
        <w:tc>
          <w:tcPr>
            <w:tcW w:w="1033" w:type="dxa"/>
            <w:vAlign w:val="center"/>
          </w:tcPr>
          <w:p>
            <w:pPr>
              <w:pStyle w:val="27"/>
              <w:ind w:firstLine="0" w:firstLineChars="0"/>
              <w:jc w:val="center"/>
              <w:rPr>
                <w:rFonts w:ascii="Times New Roman" w:eastAsiaTheme="minorEastAsia"/>
                <w:sz w:val="18"/>
                <w:szCs w:val="18"/>
                <w:vertAlign w:val="superscript"/>
              </w:rPr>
            </w:pPr>
            <w:r>
              <w:rPr>
                <w:rFonts w:ascii="Times New Roman" w:eastAsiaTheme="minorEastAsia"/>
                <w:sz w:val="18"/>
                <w:szCs w:val="18"/>
              </w:rPr>
              <w:t>200</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sz w:val="18"/>
                <w:szCs w:val="18"/>
              </w:rPr>
              <w:t>300</w:t>
            </w:r>
          </w:p>
        </w:tc>
        <w:tc>
          <w:tcPr>
            <w:tcW w:w="1019" w:type="dxa"/>
            <w:vAlign w:val="center"/>
          </w:tcPr>
          <w:p>
            <w:pPr>
              <w:pStyle w:val="27"/>
              <w:ind w:firstLine="0" w:firstLineChars="0"/>
              <w:jc w:val="center"/>
              <w:rPr>
                <w:rFonts w:ascii="Times New Roman" w:eastAsiaTheme="minorEastAsia"/>
                <w:sz w:val="18"/>
                <w:szCs w:val="18"/>
                <w:vertAlign w:val="superscript"/>
              </w:rPr>
            </w:pPr>
            <w:r>
              <w:rPr>
                <w:rFonts w:ascii="Times New Roman" w:eastAsiaTheme="minorEastAsia"/>
                <w:sz w:val="18"/>
                <w:szCs w:val="18"/>
              </w:rPr>
              <w:t>200</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sz w:val="18"/>
                <w:szCs w:val="18"/>
              </w:rPr>
              <w:t>250</w:t>
            </w:r>
          </w:p>
        </w:tc>
        <w:tc>
          <w:tcPr>
            <w:tcW w:w="1029" w:type="dxa"/>
            <w:vAlign w:val="center"/>
          </w:tcPr>
          <w:p>
            <w:pPr>
              <w:pStyle w:val="27"/>
              <w:ind w:firstLine="0" w:firstLineChars="0"/>
              <w:jc w:val="center"/>
              <w:rPr>
                <w:rFonts w:ascii="Times New Roman" w:eastAsiaTheme="minorEastAsia"/>
                <w:sz w:val="18"/>
                <w:szCs w:val="18"/>
                <w:vertAlign w:val="superscript"/>
              </w:rPr>
            </w:pPr>
            <w:r>
              <w:rPr>
                <w:rFonts w:ascii="Times New Roman" w:eastAsiaTheme="minorEastAsia"/>
                <w:sz w:val="18"/>
                <w:szCs w:val="18"/>
              </w:rPr>
              <w:t>150</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sz w:val="18"/>
                <w:szCs w:val="18"/>
              </w:rPr>
              <w:t>200</w:t>
            </w:r>
          </w:p>
        </w:tc>
        <w:tc>
          <w:tcPr>
            <w:tcW w:w="1558" w:type="dxa"/>
            <w:vAlign w:val="center"/>
          </w:tcPr>
          <w:p>
            <w:pPr>
              <w:pStyle w:val="27"/>
              <w:ind w:firstLine="0" w:firstLineChars="0"/>
              <w:jc w:val="center"/>
              <w:rPr>
                <w:rFonts w:ascii="Times New Roman" w:eastAsiaTheme="minorEastAsia"/>
                <w:sz w:val="18"/>
                <w:szCs w:val="18"/>
                <w:vertAlign w:val="superscript"/>
              </w:rPr>
            </w:pPr>
            <w:r>
              <w:rPr>
                <w:rFonts w:ascii="Times New Roman" w:eastAsiaTheme="minorEastAsia"/>
                <w:sz w:val="18"/>
                <w:szCs w:val="18"/>
              </w:rPr>
              <w:t>150</w:t>
            </w:r>
            <w:r>
              <w:rPr>
                <w:rFonts w:ascii="Times New Roman" w:eastAsiaTheme="minorEastAsia"/>
                <w:color w:val="000000"/>
                <w:sz w:val="18"/>
                <w:szCs w:val="18"/>
                <w:vertAlign w:val="superscript"/>
              </w:rPr>
              <w:t>(1)</w:t>
            </w:r>
          </w:p>
          <w:p>
            <w:pPr>
              <w:pStyle w:val="27"/>
              <w:ind w:firstLine="0" w:firstLineChars="0"/>
              <w:jc w:val="center"/>
              <w:rPr>
                <w:rFonts w:ascii="Times New Roman" w:eastAsiaTheme="minorEastAsia"/>
                <w:sz w:val="18"/>
                <w:szCs w:val="18"/>
              </w:rPr>
            </w:pPr>
            <w:r>
              <w:rPr>
                <w:rFonts w:ascii="Times New Roman" w:eastAsiaTheme="minorEastAsia"/>
                <w:sz w:val="18"/>
                <w:szCs w:val="18"/>
              </w:rPr>
              <w:t>200</w:t>
            </w:r>
          </w:p>
        </w:tc>
        <w:tc>
          <w:tcPr>
            <w:tcW w:w="1163" w:type="dxa"/>
            <w:vMerge w:val="continue"/>
            <w:vAlign w:val="center"/>
          </w:tcPr>
          <w:p>
            <w:pPr>
              <w:pStyle w:val="27"/>
              <w:ind w:firstLine="36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2748"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一氧化碳</w:t>
            </w:r>
          </w:p>
        </w:tc>
        <w:tc>
          <w:tcPr>
            <w:tcW w:w="1033"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019"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029"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558"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200</w:t>
            </w:r>
          </w:p>
        </w:tc>
        <w:tc>
          <w:tcPr>
            <w:tcW w:w="1163" w:type="dxa"/>
            <w:vMerge w:val="continue"/>
            <w:vAlign w:val="center"/>
          </w:tcPr>
          <w:p>
            <w:pPr>
              <w:pStyle w:val="27"/>
              <w:ind w:firstLine="0" w:firstLineChars="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2748"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汞及其化合物</w:t>
            </w:r>
          </w:p>
        </w:tc>
        <w:tc>
          <w:tcPr>
            <w:tcW w:w="1033"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0.05</w:t>
            </w:r>
          </w:p>
        </w:tc>
        <w:tc>
          <w:tcPr>
            <w:tcW w:w="1019"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029"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558"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163" w:type="dxa"/>
            <w:vMerge w:val="continue"/>
            <w:vAlign w:val="center"/>
          </w:tcPr>
          <w:p>
            <w:pPr>
              <w:pStyle w:val="27"/>
              <w:ind w:firstLine="0" w:firstLineChars="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2748"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烟气黑度（林格曼黑度，级）</w:t>
            </w:r>
          </w:p>
        </w:tc>
        <w:tc>
          <w:tcPr>
            <w:tcW w:w="4639" w:type="dxa"/>
            <w:gridSpan w:val="4"/>
            <w:vAlign w:val="center"/>
          </w:tcPr>
          <w:p>
            <w:pPr>
              <w:pStyle w:val="27"/>
              <w:ind w:firstLine="0" w:firstLineChars="0"/>
              <w:jc w:val="center"/>
              <w:rPr>
                <w:rFonts w:ascii="Times New Roman" w:eastAsiaTheme="minorEastAsia"/>
                <w:sz w:val="18"/>
                <w:szCs w:val="18"/>
              </w:rPr>
            </w:pPr>
            <w:r>
              <w:rPr>
                <w:rFonts w:asciiTheme="minorEastAsia" w:hAnsiTheme="minorEastAsia" w:eastAsiaTheme="minorEastAsia"/>
                <w:sz w:val="18"/>
                <w:szCs w:val="18"/>
              </w:rPr>
              <w:t>≤</w:t>
            </w:r>
            <w:r>
              <w:rPr>
                <w:rFonts w:ascii="Times New Roman" w:eastAsiaTheme="minorEastAsia"/>
                <w:sz w:val="18"/>
                <w:szCs w:val="18"/>
              </w:rPr>
              <w:t>1</w:t>
            </w:r>
          </w:p>
        </w:tc>
        <w:tc>
          <w:tcPr>
            <w:tcW w:w="1163"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烟囱排放口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50" w:type="dxa"/>
            <w:gridSpan w:val="6"/>
            <w:vAlign w:val="center"/>
          </w:tcPr>
          <w:p>
            <w:pPr>
              <w:pStyle w:val="27"/>
              <w:ind w:firstLine="0" w:firstLineChars="0"/>
              <w:jc w:val="left"/>
              <w:rPr>
                <w:rFonts w:ascii="Times New Roman" w:eastAsiaTheme="minorEastAsia"/>
                <w:sz w:val="18"/>
                <w:szCs w:val="18"/>
              </w:rPr>
            </w:pPr>
            <w:r>
              <w:rPr>
                <w:rFonts w:ascii="Times New Roman" w:eastAsiaTheme="minorEastAsia"/>
                <w:sz w:val="18"/>
                <w:szCs w:val="18"/>
              </w:rPr>
              <w:t>注：（1）位于珠三角地区9</w:t>
            </w:r>
            <w:r>
              <w:rPr>
                <w:rFonts w:hint="eastAsia" w:ascii="Times New Roman" w:eastAsiaTheme="minorEastAsia"/>
                <w:sz w:val="18"/>
                <w:szCs w:val="18"/>
              </w:rPr>
              <w:t>个城市</w:t>
            </w:r>
            <w:r>
              <w:rPr>
                <w:rFonts w:ascii="Times New Roman" w:eastAsiaTheme="minorEastAsia"/>
                <w:sz w:val="18"/>
                <w:szCs w:val="18"/>
              </w:rPr>
              <w:t>的锅炉执行该限值。</w:t>
            </w:r>
          </w:p>
        </w:tc>
      </w:tr>
      <w:bookmarkEnd w:id="92"/>
      <w:bookmarkEnd w:id="93"/>
      <w:bookmarkEnd w:id="94"/>
    </w:tbl>
    <w:p>
      <w:pPr>
        <w:pStyle w:val="21"/>
        <w:spacing w:before="156" w:beforeLines="50"/>
        <w:ind w:left="0"/>
        <w:rPr>
          <w:rFonts w:ascii="Times New Roman" w:eastAsia="宋体"/>
        </w:rPr>
      </w:pPr>
      <w:bookmarkStart w:id="98" w:name="_Hlk535402174"/>
      <w:bookmarkStart w:id="99" w:name="OLE_LINK7"/>
      <w:bookmarkStart w:id="100" w:name="OLE_LINK6"/>
      <w:r>
        <w:rPr>
          <w:rFonts w:ascii="Times New Roman" w:eastAsia="宋体"/>
        </w:rPr>
        <w:t>自本标准实施之日起，新建</w:t>
      </w:r>
      <w:r>
        <w:rPr>
          <w:rFonts w:ascii="Times New Roman" w:eastAsiaTheme="minorEastAsia"/>
        </w:rPr>
        <w:t>锅炉执行表2规定的大气污染物排放限值。</w:t>
      </w:r>
      <w:bookmarkEnd w:id="98"/>
    </w:p>
    <w:bookmarkEnd w:id="99"/>
    <w:bookmarkEnd w:id="100"/>
    <w:p>
      <w:pPr>
        <w:pStyle w:val="27"/>
        <w:spacing w:before="156" w:beforeLines="50"/>
        <w:ind w:firstLine="0" w:firstLineChars="0"/>
        <w:jc w:val="center"/>
        <w:rPr>
          <w:rFonts w:ascii="Times New Roman" w:eastAsia="黑体"/>
          <w:szCs w:val="21"/>
        </w:rPr>
      </w:pPr>
      <w:bookmarkStart w:id="101" w:name="_Hlk504570213"/>
      <w:r>
        <w:rPr>
          <w:rFonts w:ascii="Times New Roman" w:eastAsia="黑体"/>
          <w:szCs w:val="21"/>
        </w:rPr>
        <w:t>表2   新建锅炉大气污染物排放浓度限值</w:t>
      </w:r>
    </w:p>
    <w:p>
      <w:pPr>
        <w:pStyle w:val="27"/>
        <w:jc w:val="right"/>
        <w:rPr>
          <w:rFonts w:ascii="Times New Roman" w:eastAsia="黑体"/>
          <w:szCs w:val="21"/>
          <w:vertAlign w:val="superscript"/>
        </w:rPr>
      </w:pPr>
      <w:bookmarkStart w:id="102" w:name="_Hlk535402232"/>
      <w:r>
        <w:rPr>
          <w:rFonts w:ascii="Times New Roman" w:eastAsiaTheme="minorEastAsia"/>
          <w:szCs w:val="21"/>
        </w:rPr>
        <w:t>单位：</w:t>
      </w:r>
      <w:r>
        <w:rPr>
          <w:rFonts w:ascii="Times New Roman"/>
          <w:sz w:val="18"/>
          <w:szCs w:val="18"/>
        </w:rPr>
        <w:t>mg/m</w:t>
      </w:r>
      <w:r>
        <w:rPr>
          <w:rFonts w:ascii="Times New Roman"/>
          <w:sz w:val="18"/>
          <w:szCs w:val="18"/>
          <w:vertAlign w:val="superscript"/>
        </w:rPr>
        <w:t>3</w:t>
      </w:r>
    </w:p>
    <w:tbl>
      <w:tblPr>
        <w:tblStyle w:val="11"/>
        <w:tblW w:w="85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9"/>
        <w:gridCol w:w="961"/>
        <w:gridCol w:w="971"/>
        <w:gridCol w:w="1052"/>
        <w:gridCol w:w="1560"/>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819" w:type="dxa"/>
            <w:vMerge w:val="restart"/>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污染物项目</w:t>
            </w:r>
          </w:p>
        </w:tc>
        <w:tc>
          <w:tcPr>
            <w:tcW w:w="4544" w:type="dxa"/>
            <w:gridSpan w:val="4"/>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限值</w:t>
            </w:r>
          </w:p>
        </w:tc>
        <w:tc>
          <w:tcPr>
            <w:tcW w:w="1187" w:type="dxa"/>
            <w:vMerge w:val="restart"/>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19" w:type="dxa"/>
            <w:vMerge w:val="continue"/>
            <w:vAlign w:val="center"/>
          </w:tcPr>
          <w:p>
            <w:pPr>
              <w:pStyle w:val="27"/>
              <w:ind w:firstLine="0" w:firstLineChars="0"/>
              <w:jc w:val="center"/>
              <w:rPr>
                <w:rFonts w:ascii="Times New Roman" w:eastAsiaTheme="minorEastAsia"/>
                <w:sz w:val="18"/>
                <w:szCs w:val="18"/>
              </w:rPr>
            </w:pPr>
          </w:p>
        </w:tc>
        <w:tc>
          <w:tcPr>
            <w:tcW w:w="96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燃煤锅炉</w:t>
            </w:r>
          </w:p>
        </w:tc>
        <w:tc>
          <w:tcPr>
            <w:tcW w:w="97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燃油锅炉</w:t>
            </w:r>
          </w:p>
        </w:tc>
        <w:tc>
          <w:tcPr>
            <w:tcW w:w="1052"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燃气锅炉</w:t>
            </w:r>
          </w:p>
        </w:tc>
        <w:tc>
          <w:tcPr>
            <w:tcW w:w="1560" w:type="dxa"/>
            <w:vAlign w:val="center"/>
          </w:tcPr>
          <w:p>
            <w:pPr>
              <w:pStyle w:val="27"/>
              <w:ind w:firstLine="0" w:firstLineChars="0"/>
              <w:jc w:val="center"/>
              <w:rPr>
                <w:rFonts w:ascii="Times New Roman" w:eastAsiaTheme="minorEastAsia"/>
                <w:sz w:val="18"/>
                <w:szCs w:val="18"/>
              </w:rPr>
            </w:pPr>
            <w:r>
              <w:rPr>
                <w:rFonts w:hint="eastAsia" w:ascii="Times New Roman" w:eastAsiaTheme="minorEastAsia"/>
                <w:sz w:val="18"/>
                <w:szCs w:val="18"/>
              </w:rPr>
              <w:t>燃</w:t>
            </w:r>
            <w:r>
              <w:rPr>
                <w:rFonts w:ascii="Times New Roman" w:eastAsiaTheme="minorEastAsia"/>
                <w:sz w:val="18"/>
                <w:szCs w:val="18"/>
              </w:rPr>
              <w:t>生物质成型燃料锅炉</w:t>
            </w:r>
          </w:p>
        </w:tc>
        <w:tc>
          <w:tcPr>
            <w:tcW w:w="1187" w:type="dxa"/>
            <w:vMerge w:val="continue"/>
            <w:vAlign w:val="center"/>
          </w:tcPr>
          <w:p>
            <w:pPr>
              <w:pStyle w:val="27"/>
              <w:ind w:firstLine="0" w:firstLineChars="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1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颗粒物</w:t>
            </w:r>
          </w:p>
        </w:tc>
        <w:tc>
          <w:tcPr>
            <w:tcW w:w="96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30</w:t>
            </w:r>
          </w:p>
        </w:tc>
        <w:tc>
          <w:tcPr>
            <w:tcW w:w="97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20</w:t>
            </w:r>
          </w:p>
        </w:tc>
        <w:tc>
          <w:tcPr>
            <w:tcW w:w="1052"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20</w:t>
            </w:r>
          </w:p>
        </w:tc>
        <w:tc>
          <w:tcPr>
            <w:tcW w:w="1560"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20</w:t>
            </w:r>
          </w:p>
        </w:tc>
        <w:tc>
          <w:tcPr>
            <w:tcW w:w="1187" w:type="dxa"/>
            <w:vMerge w:val="restart"/>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烟囱或烟道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1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二氧化硫</w:t>
            </w:r>
          </w:p>
        </w:tc>
        <w:tc>
          <w:tcPr>
            <w:tcW w:w="96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200</w:t>
            </w:r>
          </w:p>
        </w:tc>
        <w:tc>
          <w:tcPr>
            <w:tcW w:w="97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100</w:t>
            </w:r>
          </w:p>
        </w:tc>
        <w:tc>
          <w:tcPr>
            <w:tcW w:w="1052"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50</w:t>
            </w:r>
          </w:p>
        </w:tc>
        <w:tc>
          <w:tcPr>
            <w:tcW w:w="1560"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35</w:t>
            </w:r>
          </w:p>
        </w:tc>
        <w:tc>
          <w:tcPr>
            <w:tcW w:w="1187" w:type="dxa"/>
            <w:vMerge w:val="continue"/>
            <w:vAlign w:val="center"/>
          </w:tcPr>
          <w:p>
            <w:pPr>
              <w:pStyle w:val="27"/>
              <w:ind w:firstLine="0" w:firstLineChars="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1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氮氧化物</w:t>
            </w:r>
          </w:p>
        </w:tc>
        <w:tc>
          <w:tcPr>
            <w:tcW w:w="96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200</w:t>
            </w:r>
          </w:p>
        </w:tc>
        <w:tc>
          <w:tcPr>
            <w:tcW w:w="97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200</w:t>
            </w:r>
          </w:p>
        </w:tc>
        <w:tc>
          <w:tcPr>
            <w:tcW w:w="1052"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150</w:t>
            </w:r>
          </w:p>
        </w:tc>
        <w:tc>
          <w:tcPr>
            <w:tcW w:w="1560"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150</w:t>
            </w:r>
          </w:p>
        </w:tc>
        <w:tc>
          <w:tcPr>
            <w:tcW w:w="1187" w:type="dxa"/>
            <w:vMerge w:val="continue"/>
            <w:vAlign w:val="center"/>
          </w:tcPr>
          <w:p>
            <w:pPr>
              <w:pStyle w:val="27"/>
              <w:ind w:firstLine="0" w:firstLineChars="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1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一氧化碳</w:t>
            </w:r>
          </w:p>
        </w:tc>
        <w:tc>
          <w:tcPr>
            <w:tcW w:w="961"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971"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052"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560" w:type="dxa"/>
            <w:vAlign w:val="center"/>
          </w:tcPr>
          <w:p>
            <w:pPr>
              <w:pStyle w:val="27"/>
              <w:ind w:firstLine="0" w:firstLineChars="0"/>
              <w:jc w:val="center"/>
              <w:rPr>
                <w:rFonts w:ascii="Times New Roman" w:eastAsiaTheme="minorEastAsia"/>
                <w:color w:val="FF0000"/>
                <w:sz w:val="18"/>
                <w:szCs w:val="18"/>
              </w:rPr>
            </w:pPr>
            <w:r>
              <w:rPr>
                <w:rFonts w:ascii="Times New Roman" w:eastAsiaTheme="minorEastAsia"/>
                <w:sz w:val="18"/>
                <w:szCs w:val="18"/>
              </w:rPr>
              <w:t>200</w:t>
            </w:r>
          </w:p>
        </w:tc>
        <w:tc>
          <w:tcPr>
            <w:tcW w:w="1187" w:type="dxa"/>
            <w:vMerge w:val="continue"/>
            <w:vAlign w:val="center"/>
          </w:tcPr>
          <w:p>
            <w:pPr>
              <w:pStyle w:val="27"/>
              <w:ind w:firstLine="0" w:firstLineChars="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1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汞及其化合物</w:t>
            </w:r>
          </w:p>
        </w:tc>
        <w:tc>
          <w:tcPr>
            <w:tcW w:w="961"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0.05</w:t>
            </w:r>
          </w:p>
        </w:tc>
        <w:tc>
          <w:tcPr>
            <w:tcW w:w="971"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052"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560" w:type="dxa"/>
            <w:vAlign w:val="center"/>
          </w:tcPr>
          <w:p>
            <w:pPr>
              <w:pStyle w:val="27"/>
              <w:ind w:firstLine="0" w:firstLineChars="0"/>
              <w:jc w:val="center"/>
              <w:rPr>
                <w:rFonts w:asciiTheme="minorEastAsia" w:hAnsiTheme="minorEastAsia" w:eastAsiaTheme="minorEastAsia"/>
                <w:sz w:val="18"/>
                <w:szCs w:val="18"/>
              </w:rPr>
            </w:pPr>
            <w:r>
              <w:rPr>
                <w:rFonts w:asciiTheme="minorEastAsia" w:hAnsiTheme="minorEastAsia" w:eastAsiaTheme="minorEastAsia"/>
                <w:sz w:val="18"/>
                <w:szCs w:val="18"/>
              </w:rPr>
              <w:t>-</w:t>
            </w:r>
          </w:p>
        </w:tc>
        <w:tc>
          <w:tcPr>
            <w:tcW w:w="1187" w:type="dxa"/>
            <w:vMerge w:val="continue"/>
            <w:vAlign w:val="center"/>
          </w:tcPr>
          <w:p>
            <w:pPr>
              <w:pStyle w:val="27"/>
              <w:ind w:firstLine="0" w:firstLineChars="0"/>
              <w:jc w:val="center"/>
              <w:rPr>
                <w:rFonts w:ascii="Times New Roman"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1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烟气黑度（林格曼黑度，级）</w:t>
            </w:r>
          </w:p>
        </w:tc>
        <w:tc>
          <w:tcPr>
            <w:tcW w:w="4544" w:type="dxa"/>
            <w:gridSpan w:val="4"/>
            <w:vAlign w:val="center"/>
          </w:tcPr>
          <w:p>
            <w:pPr>
              <w:pStyle w:val="27"/>
              <w:ind w:firstLine="0" w:firstLineChars="0"/>
              <w:jc w:val="center"/>
              <w:rPr>
                <w:rFonts w:ascii="Times New Roman" w:eastAsiaTheme="minorEastAsia"/>
                <w:sz w:val="18"/>
                <w:szCs w:val="18"/>
              </w:rPr>
            </w:pPr>
            <w:r>
              <w:rPr>
                <w:rFonts w:asciiTheme="minorEastAsia" w:hAnsiTheme="minorEastAsia" w:eastAsiaTheme="minorEastAsia"/>
                <w:sz w:val="18"/>
                <w:szCs w:val="18"/>
              </w:rPr>
              <w:t>≤</w:t>
            </w:r>
            <w:r>
              <w:rPr>
                <w:rFonts w:ascii="Times New Roman" w:eastAsiaTheme="minorEastAsia"/>
                <w:sz w:val="18"/>
                <w:szCs w:val="18"/>
              </w:rPr>
              <w:t>1</w:t>
            </w:r>
          </w:p>
        </w:tc>
        <w:tc>
          <w:tcPr>
            <w:tcW w:w="1187"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烟囱排放口</w:t>
            </w:r>
          </w:p>
        </w:tc>
      </w:tr>
      <w:bookmarkEnd w:id="101"/>
      <w:bookmarkEnd w:id="102"/>
    </w:tbl>
    <w:p>
      <w:pPr>
        <w:pStyle w:val="21"/>
        <w:spacing w:line="360" w:lineRule="auto"/>
        <w:ind w:left="0"/>
        <w:rPr>
          <w:rFonts w:ascii="Times New Roman" w:eastAsia="宋体"/>
        </w:rPr>
      </w:pPr>
      <w:bookmarkStart w:id="103" w:name="_Hlk535402275"/>
      <w:bookmarkStart w:id="104" w:name="_Hlk535402259"/>
      <w:r>
        <w:rPr>
          <w:rFonts w:hint="eastAsia" w:ascii="Times New Roman" w:eastAsiaTheme="minorEastAsia"/>
        </w:rPr>
        <w:t>自2</w:t>
      </w:r>
      <w:r>
        <w:rPr>
          <w:rFonts w:ascii="Times New Roman" w:eastAsiaTheme="minorEastAsia"/>
        </w:rPr>
        <w:t>021</w:t>
      </w:r>
      <w:r>
        <w:rPr>
          <w:rFonts w:hint="eastAsia" w:ascii="Times New Roman" w:eastAsiaTheme="minorEastAsia"/>
        </w:rPr>
        <w:t>年1月1日起，未实行清洁能源改造的3</w:t>
      </w:r>
      <w:r>
        <w:rPr>
          <w:rFonts w:ascii="Times New Roman" w:eastAsiaTheme="minorEastAsia"/>
        </w:rPr>
        <w:t>5t/h</w:t>
      </w:r>
      <w:r>
        <w:rPr>
          <w:rFonts w:hint="eastAsia" w:ascii="Times New Roman" w:eastAsia="宋体"/>
        </w:rPr>
        <w:t>及以上燃煤锅炉执行表3规定的大气污染物特别排放限值，各地级以上市人民政府可根据环境空气质量改善需要提前执行。</w:t>
      </w:r>
      <w:bookmarkEnd w:id="103"/>
    </w:p>
    <w:p>
      <w:pPr>
        <w:pStyle w:val="21"/>
        <w:numPr>
          <w:ilvl w:val="0"/>
          <w:numId w:val="0"/>
        </w:numPr>
        <w:spacing w:line="360" w:lineRule="auto"/>
        <w:ind w:firstLine="420" w:firstLineChars="200"/>
        <w:rPr>
          <w:rFonts w:ascii="Times New Roman" w:eastAsiaTheme="minorEastAsia"/>
        </w:rPr>
      </w:pPr>
      <w:bookmarkStart w:id="105" w:name="_Hlk535402293"/>
      <w:r>
        <w:rPr>
          <w:rFonts w:hint="eastAsia" w:ascii="Times New Roman" w:eastAsiaTheme="minorEastAsia"/>
        </w:rPr>
        <w:t>其它锅炉可根据环境保护工作的要求，在国土开发密度较高、环境承载能力开始减弱，或大气环境容量较小、生态环境脆弱，容易发生严重大气环境污染问题而需要严格控制大气污染物排放的地区，执行表3规定的大气污染物特别排放限值。执行大气污染物特别排放限值的锅炉燃料及蒸吨类型、地域范围及时间，由各地级以上市人民政府规定。</w:t>
      </w:r>
      <w:bookmarkEnd w:id="104"/>
      <w:bookmarkEnd w:id="105"/>
    </w:p>
    <w:p>
      <w:pPr>
        <w:pStyle w:val="27"/>
        <w:spacing w:before="156" w:beforeLines="50"/>
        <w:ind w:firstLine="0" w:firstLineChars="0"/>
        <w:jc w:val="center"/>
        <w:rPr>
          <w:rFonts w:ascii="Times New Roman" w:eastAsia="黑体"/>
          <w:szCs w:val="21"/>
        </w:rPr>
      </w:pPr>
      <w:bookmarkStart w:id="106" w:name="_Hlk535416498"/>
      <w:r>
        <w:rPr>
          <w:rFonts w:ascii="Times New Roman" w:eastAsia="黑体"/>
          <w:szCs w:val="21"/>
        </w:rPr>
        <w:t>表3   大气污染物特别排放限值</w:t>
      </w:r>
    </w:p>
    <w:p>
      <w:pPr>
        <w:pStyle w:val="27"/>
        <w:jc w:val="right"/>
        <w:rPr>
          <w:rFonts w:ascii="Times New Roman" w:eastAsia="黑体"/>
          <w:szCs w:val="21"/>
          <w:vertAlign w:val="superscript"/>
        </w:rPr>
      </w:pPr>
      <w:r>
        <w:rPr>
          <w:rFonts w:ascii="Times New Roman" w:eastAsiaTheme="minorEastAsia"/>
          <w:szCs w:val="21"/>
        </w:rPr>
        <w:t>单位：</w:t>
      </w:r>
      <w:r>
        <w:rPr>
          <w:rFonts w:ascii="Times New Roman"/>
          <w:sz w:val="18"/>
          <w:szCs w:val="18"/>
        </w:rPr>
        <w:t>mg/m</w:t>
      </w:r>
      <w:r>
        <w:rPr>
          <w:rFonts w:ascii="Times New Roman"/>
          <w:sz w:val="18"/>
          <w:szCs w:val="18"/>
          <w:vertAlign w:val="superscript"/>
        </w:rPr>
        <w:t>3</w:t>
      </w:r>
    </w:p>
    <w:tbl>
      <w:tblPr>
        <w:tblStyle w:val="11"/>
        <w:tblW w:w="85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3"/>
        <w:gridCol w:w="2049"/>
        <w:gridCol w:w="1973"/>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553"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污染物项目</w:t>
            </w:r>
          </w:p>
        </w:tc>
        <w:tc>
          <w:tcPr>
            <w:tcW w:w="204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颗粒物</w:t>
            </w:r>
          </w:p>
        </w:tc>
        <w:tc>
          <w:tcPr>
            <w:tcW w:w="1973"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二氧化硫</w:t>
            </w:r>
          </w:p>
        </w:tc>
        <w:tc>
          <w:tcPr>
            <w:tcW w:w="1975"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氮氧化物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553"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限值</w:t>
            </w:r>
          </w:p>
        </w:tc>
        <w:tc>
          <w:tcPr>
            <w:tcW w:w="2049" w:type="dxa"/>
            <w:vAlign w:val="center"/>
          </w:tcPr>
          <w:p>
            <w:pPr>
              <w:pStyle w:val="27"/>
              <w:ind w:firstLine="0" w:firstLineChars="0"/>
              <w:jc w:val="center"/>
              <w:rPr>
                <w:rFonts w:ascii="Times New Roman" w:eastAsiaTheme="minorEastAsia"/>
                <w:sz w:val="18"/>
                <w:szCs w:val="18"/>
              </w:rPr>
            </w:pPr>
            <w:r>
              <w:rPr>
                <w:rFonts w:ascii="Times New Roman" w:eastAsiaTheme="minorEastAsia"/>
                <w:sz w:val="18"/>
                <w:szCs w:val="18"/>
              </w:rPr>
              <w:t>10</w:t>
            </w:r>
          </w:p>
        </w:tc>
        <w:tc>
          <w:tcPr>
            <w:tcW w:w="1973" w:type="dxa"/>
          </w:tcPr>
          <w:p>
            <w:pPr>
              <w:pStyle w:val="27"/>
              <w:ind w:firstLine="0" w:firstLineChars="0"/>
              <w:jc w:val="center"/>
              <w:rPr>
                <w:rFonts w:ascii="Times New Roman" w:eastAsiaTheme="minorEastAsia"/>
                <w:sz w:val="18"/>
                <w:szCs w:val="18"/>
              </w:rPr>
            </w:pPr>
            <w:r>
              <w:rPr>
                <w:rFonts w:ascii="Times New Roman" w:eastAsiaTheme="minorEastAsia"/>
                <w:sz w:val="18"/>
                <w:szCs w:val="18"/>
              </w:rPr>
              <w:t>35</w:t>
            </w:r>
          </w:p>
        </w:tc>
        <w:tc>
          <w:tcPr>
            <w:tcW w:w="1975" w:type="dxa"/>
          </w:tcPr>
          <w:p>
            <w:pPr>
              <w:pStyle w:val="27"/>
              <w:ind w:firstLine="0" w:firstLineChars="0"/>
              <w:jc w:val="center"/>
              <w:rPr>
                <w:rFonts w:ascii="Times New Roman" w:eastAsiaTheme="minorEastAsia"/>
                <w:sz w:val="18"/>
                <w:szCs w:val="18"/>
              </w:rPr>
            </w:pPr>
            <w:r>
              <w:rPr>
                <w:rFonts w:ascii="Times New Roman" w:eastAsiaTheme="minorEastAsia"/>
                <w:sz w:val="18"/>
                <w:szCs w:val="18"/>
              </w:rPr>
              <w:t>50</w:t>
            </w:r>
          </w:p>
        </w:tc>
      </w:tr>
    </w:tbl>
    <w:p>
      <w:pPr>
        <w:pStyle w:val="27"/>
        <w:ind w:right="210"/>
        <w:jc w:val="right"/>
        <w:rPr>
          <w:rFonts w:ascii="Times New Roman" w:eastAsia="黑体"/>
          <w:szCs w:val="21"/>
        </w:rPr>
      </w:pPr>
    </w:p>
    <w:bookmarkEnd w:id="106"/>
    <w:p>
      <w:pPr>
        <w:pStyle w:val="21"/>
        <w:ind w:left="0"/>
        <w:rPr>
          <w:rFonts w:ascii="Times New Roman" w:eastAsia="宋体"/>
        </w:rPr>
      </w:pPr>
      <w:bookmarkStart w:id="107" w:name="_Hlk535416801"/>
      <w:bookmarkStart w:id="108" w:name="_Hlk535416673"/>
      <w:bookmarkStart w:id="109" w:name="_Hlk535416528"/>
      <w:bookmarkStart w:id="110" w:name="_Hlk535416713"/>
      <w:r>
        <w:rPr>
          <w:rFonts w:ascii="Times New Roman" w:eastAsia="宋体"/>
        </w:rPr>
        <w:t>无组织排放控制要求</w:t>
      </w:r>
      <w:bookmarkEnd w:id="107"/>
    </w:p>
    <w:p>
      <w:pPr>
        <w:spacing w:line="360" w:lineRule="auto"/>
        <w:rPr>
          <w:rFonts w:eastAsiaTheme="minorEastAsia"/>
          <w:kern w:val="0"/>
          <w:szCs w:val="20"/>
        </w:rPr>
      </w:pPr>
      <w:bookmarkStart w:id="111" w:name="_Hlk535416819"/>
      <w:r>
        <w:rPr>
          <w:rFonts w:ascii="黑体" w:hAnsi="黑体" w:eastAsia="黑体"/>
          <w:kern w:val="0"/>
          <w:szCs w:val="20"/>
        </w:rPr>
        <w:t>4.4.1</w:t>
      </w:r>
      <w:r>
        <w:rPr>
          <w:rFonts w:eastAsia="黑体"/>
          <w:kern w:val="0"/>
          <w:szCs w:val="20"/>
        </w:rPr>
        <w:t xml:space="preserve"> </w:t>
      </w:r>
      <w:r>
        <w:rPr>
          <w:rFonts w:eastAsiaTheme="minorEastAsia"/>
          <w:kern w:val="0"/>
          <w:szCs w:val="20"/>
        </w:rPr>
        <w:t>燃料和灰渣的贮运</w:t>
      </w:r>
    </w:p>
    <w:p>
      <w:pPr>
        <w:spacing w:line="360" w:lineRule="auto"/>
        <w:ind w:firstLine="420" w:firstLineChars="200"/>
        <w:rPr>
          <w:rFonts w:eastAsiaTheme="minorEastAsia"/>
          <w:kern w:val="0"/>
          <w:szCs w:val="20"/>
        </w:rPr>
      </w:pPr>
      <w:bookmarkStart w:id="112" w:name="_Hlk513726369"/>
      <w:r>
        <w:rPr>
          <w:rFonts w:eastAsiaTheme="minorEastAsia"/>
          <w:kern w:val="0"/>
          <w:szCs w:val="20"/>
        </w:rPr>
        <w:t>a）储煤场应采用半封闭或全封闭型式。粉煤灰应采用密闭的灰仓储存，卸灰管道出口应有防尘措施</w:t>
      </w:r>
      <w:r>
        <w:rPr>
          <w:rFonts w:hint="eastAsia" w:eastAsiaTheme="minorEastAsia"/>
          <w:kern w:val="0"/>
          <w:szCs w:val="20"/>
        </w:rPr>
        <w:t>，</w:t>
      </w:r>
      <w:r>
        <w:rPr>
          <w:rFonts w:eastAsiaTheme="minorEastAsia"/>
          <w:kern w:val="0"/>
          <w:szCs w:val="20"/>
        </w:rPr>
        <w:t>炉渣应采用渣库储存，并采用挡尘卷帘、围挡等型式的防尘措施。</w:t>
      </w:r>
    </w:p>
    <w:bookmarkEnd w:id="111"/>
    <w:p>
      <w:pPr>
        <w:spacing w:line="360" w:lineRule="auto"/>
        <w:ind w:firstLine="420" w:firstLineChars="200"/>
        <w:rPr>
          <w:rFonts w:eastAsiaTheme="minorEastAsia"/>
          <w:kern w:val="0"/>
          <w:szCs w:val="20"/>
        </w:rPr>
      </w:pPr>
      <w:bookmarkStart w:id="113" w:name="_Hlk535416865"/>
      <w:r>
        <w:rPr>
          <w:rFonts w:eastAsiaTheme="minorEastAsia"/>
          <w:kern w:val="0"/>
          <w:szCs w:val="20"/>
        </w:rPr>
        <w:t>b）储煤场卸煤过程应采取喷淋等抑尘措施。煤炭输运过程中使用皮带机输送的应在输煤栈桥等封闭环境中进行，并对落煤点采用喷淋或密闭等防尘措施。煤仓进料口应设置集气罩。粉煤灰运输应使用专用罐车。</w:t>
      </w:r>
    </w:p>
    <w:p>
      <w:pPr>
        <w:spacing w:line="360" w:lineRule="auto"/>
        <w:rPr>
          <w:rFonts w:eastAsiaTheme="minorEastAsia"/>
          <w:kern w:val="0"/>
          <w:szCs w:val="20"/>
        </w:rPr>
      </w:pPr>
      <w:r>
        <w:rPr>
          <w:rFonts w:ascii="黑体" w:hAnsi="黑体" w:eastAsia="黑体"/>
          <w:kern w:val="0"/>
          <w:szCs w:val="20"/>
        </w:rPr>
        <w:t xml:space="preserve">4.4.2 </w:t>
      </w:r>
      <w:r>
        <w:rPr>
          <w:rFonts w:eastAsiaTheme="minorEastAsia"/>
          <w:kern w:val="0"/>
          <w:szCs w:val="20"/>
        </w:rPr>
        <w:t>物料的筛分和破碎</w:t>
      </w:r>
    </w:p>
    <w:p>
      <w:pPr>
        <w:spacing w:line="360" w:lineRule="auto"/>
        <w:ind w:firstLine="420" w:firstLineChars="200"/>
        <w:rPr>
          <w:rFonts w:eastAsiaTheme="minorEastAsia"/>
          <w:kern w:val="0"/>
          <w:szCs w:val="20"/>
        </w:rPr>
      </w:pPr>
      <w:r>
        <w:rPr>
          <w:rFonts w:eastAsiaTheme="minorEastAsia"/>
          <w:kern w:val="0"/>
          <w:szCs w:val="20"/>
        </w:rPr>
        <w:t>a）由于工艺要求设置煤炭筛分、破碎工艺的，筛分和破碎应在封闭厂房中进行。筛分过程应设置集气罩，并配置除尘设施。破碎过程应对破碎机进、出料口进行密闭处理</w:t>
      </w:r>
      <w:r>
        <w:rPr>
          <w:rFonts w:hint="eastAsia" w:eastAsiaTheme="minorEastAsia"/>
          <w:kern w:val="0"/>
          <w:szCs w:val="20"/>
        </w:rPr>
        <w:t>，</w:t>
      </w:r>
      <w:r>
        <w:rPr>
          <w:rFonts w:eastAsiaTheme="minorEastAsia"/>
          <w:kern w:val="0"/>
          <w:szCs w:val="20"/>
        </w:rPr>
        <w:t>或设置集气罩，并配置除尘设施。</w:t>
      </w:r>
    </w:p>
    <w:p>
      <w:pPr>
        <w:spacing w:line="360" w:lineRule="auto"/>
        <w:ind w:firstLine="420" w:firstLineChars="200"/>
        <w:rPr>
          <w:rFonts w:eastAsiaTheme="minorEastAsia"/>
          <w:kern w:val="0"/>
          <w:szCs w:val="20"/>
        </w:rPr>
      </w:pPr>
      <w:r>
        <w:rPr>
          <w:rFonts w:eastAsiaTheme="minorEastAsia"/>
          <w:kern w:val="0"/>
          <w:szCs w:val="20"/>
        </w:rPr>
        <w:t>b）石灰石制粉应在封闭厂房中进行。石灰石粉应使用罐车运输、密闭储存。</w:t>
      </w:r>
    </w:p>
    <w:p>
      <w:pPr>
        <w:spacing w:line="360" w:lineRule="auto"/>
        <w:rPr>
          <w:rFonts w:eastAsiaTheme="minorEastAsia"/>
          <w:kern w:val="0"/>
          <w:szCs w:val="20"/>
        </w:rPr>
      </w:pPr>
      <w:r>
        <w:rPr>
          <w:rFonts w:ascii="黑体" w:hAnsi="黑体" w:eastAsia="黑体"/>
          <w:kern w:val="0"/>
          <w:szCs w:val="20"/>
        </w:rPr>
        <w:t xml:space="preserve">4.4.3 </w:t>
      </w:r>
      <w:r>
        <w:rPr>
          <w:rFonts w:eastAsiaTheme="minorEastAsia"/>
          <w:kern w:val="0"/>
          <w:szCs w:val="20"/>
        </w:rPr>
        <w:t>厂区环境</w:t>
      </w:r>
    </w:p>
    <w:p>
      <w:pPr>
        <w:spacing w:line="360" w:lineRule="auto"/>
        <w:ind w:firstLine="420" w:firstLineChars="200"/>
        <w:rPr>
          <w:rFonts w:eastAsiaTheme="minorEastAsia"/>
          <w:kern w:val="0"/>
          <w:szCs w:val="20"/>
        </w:rPr>
      </w:pPr>
      <w:r>
        <w:rPr>
          <w:rFonts w:eastAsiaTheme="minorEastAsia"/>
          <w:kern w:val="0"/>
          <w:szCs w:val="20"/>
        </w:rPr>
        <w:t>厂区裸露地面应采用绿化等抑尘措施，道路应进行硬化并定期清扫、洒水，物料进出口设置车辆冲洗设施。</w:t>
      </w:r>
    </w:p>
    <w:p>
      <w:pPr>
        <w:spacing w:line="360" w:lineRule="auto"/>
        <w:rPr>
          <w:rFonts w:eastAsiaTheme="minorEastAsia"/>
          <w:kern w:val="0"/>
          <w:szCs w:val="20"/>
        </w:rPr>
      </w:pPr>
      <w:r>
        <w:rPr>
          <w:rFonts w:ascii="黑体" w:hAnsi="黑体" w:eastAsia="黑体"/>
          <w:kern w:val="0"/>
          <w:szCs w:val="20"/>
        </w:rPr>
        <w:t xml:space="preserve">4.4.4 </w:t>
      </w:r>
      <w:r>
        <w:rPr>
          <w:rFonts w:eastAsiaTheme="minorEastAsia"/>
          <w:kern w:val="0"/>
          <w:szCs w:val="20"/>
        </w:rPr>
        <w:t>生产工艺设备、废气收集系统以及污染治理设施应同步运行。废气收集系统或污染治理设施发生故障或检修时，应停止运转对应的生产工艺设备，待检修完毕后共同投入使用。</w:t>
      </w:r>
    </w:p>
    <w:p>
      <w:pPr>
        <w:spacing w:line="360" w:lineRule="auto"/>
        <w:rPr>
          <w:rFonts w:eastAsiaTheme="minorEastAsia"/>
          <w:kern w:val="0"/>
          <w:szCs w:val="20"/>
        </w:rPr>
      </w:pPr>
      <w:r>
        <w:rPr>
          <w:rFonts w:ascii="黑体" w:hAnsi="黑体" w:eastAsia="黑体"/>
          <w:kern w:val="0"/>
          <w:szCs w:val="20"/>
        </w:rPr>
        <w:t xml:space="preserve">4.4.5 </w:t>
      </w:r>
      <w:r>
        <w:rPr>
          <w:rFonts w:eastAsiaTheme="minorEastAsia"/>
          <w:kern w:val="0"/>
          <w:szCs w:val="20"/>
        </w:rPr>
        <w:t>因安全因素或特殊工艺要求不能满足本标准规定的无组织排放控制要求，经</w:t>
      </w:r>
      <w:r>
        <w:rPr>
          <w:rFonts w:hint="eastAsia" w:eastAsiaTheme="minorEastAsia"/>
          <w:kern w:val="0"/>
          <w:szCs w:val="20"/>
        </w:rPr>
        <w:t>生态环境</w:t>
      </w:r>
      <w:r>
        <w:rPr>
          <w:rFonts w:eastAsiaTheme="minorEastAsia"/>
          <w:kern w:val="0"/>
          <w:szCs w:val="20"/>
        </w:rPr>
        <w:t>主管部门批准，可采取其他有效污染控制措施</w:t>
      </w:r>
      <w:bookmarkEnd w:id="108"/>
      <w:r>
        <w:rPr>
          <w:rFonts w:eastAsiaTheme="minorEastAsia"/>
          <w:kern w:val="0"/>
          <w:szCs w:val="20"/>
        </w:rPr>
        <w:t>。</w:t>
      </w:r>
      <w:bookmarkEnd w:id="109"/>
      <w:bookmarkEnd w:id="112"/>
    </w:p>
    <w:bookmarkEnd w:id="110"/>
    <w:bookmarkEnd w:id="113"/>
    <w:p>
      <w:pPr>
        <w:pStyle w:val="21"/>
        <w:spacing w:line="360" w:lineRule="auto"/>
        <w:ind w:left="0"/>
        <w:rPr>
          <w:rFonts w:ascii="Times New Roman" w:eastAsia="宋体"/>
        </w:rPr>
      </w:pPr>
      <w:bookmarkStart w:id="114" w:name="_Hlk535415643"/>
      <w:r>
        <w:rPr>
          <w:rFonts w:ascii="Times New Roman" w:eastAsia="宋体"/>
        </w:rPr>
        <w:t>每个新建燃煤、</w:t>
      </w:r>
      <w:r>
        <w:rPr>
          <w:rFonts w:hint="eastAsia" w:ascii="Times New Roman" w:eastAsia="宋体"/>
        </w:rPr>
        <w:t>燃</w:t>
      </w:r>
      <w:r>
        <w:rPr>
          <w:rFonts w:ascii="Times New Roman" w:eastAsia="宋体"/>
        </w:rPr>
        <w:t>生物质成型燃料锅炉房只能设一根烟囱，烟囱高度应根据锅炉房装机总容量，按表4规定执行，燃油、燃气锅炉烟囱不低于8m，锅炉烟囱的具体高度按批复的环境影响评价文件确定。</w:t>
      </w:r>
      <w:bookmarkEnd w:id="114"/>
      <w:r>
        <w:rPr>
          <w:rFonts w:ascii="Times New Roman" w:eastAsia="宋体"/>
        </w:rPr>
        <w:t>新建锅炉房</w:t>
      </w:r>
      <w:r>
        <w:rPr>
          <w:rFonts w:hint="eastAsia" w:ascii="Times New Roman" w:eastAsia="宋体"/>
        </w:rPr>
        <w:t>的</w:t>
      </w:r>
      <w:r>
        <w:rPr>
          <w:rFonts w:ascii="Times New Roman" w:eastAsia="宋体"/>
        </w:rPr>
        <w:t>烟囱周围半径200m距离内有建筑物时，其烟囱应高出最高建筑物3m以上。</w:t>
      </w:r>
    </w:p>
    <w:p>
      <w:pPr>
        <w:pStyle w:val="27"/>
        <w:spacing w:before="156" w:beforeLines="50"/>
        <w:ind w:firstLine="0" w:firstLineChars="0"/>
        <w:jc w:val="center"/>
        <w:rPr>
          <w:rFonts w:ascii="Times New Roman" w:eastAsia="黑体"/>
          <w:szCs w:val="21"/>
        </w:rPr>
      </w:pPr>
      <w:r>
        <w:rPr>
          <w:rFonts w:ascii="Times New Roman" w:eastAsia="黑体"/>
          <w:szCs w:val="21"/>
        </w:rPr>
        <w:t>表4    燃煤、</w:t>
      </w:r>
      <w:r>
        <w:rPr>
          <w:rFonts w:hint="eastAsia" w:ascii="Times New Roman" w:eastAsia="黑体"/>
          <w:szCs w:val="21"/>
        </w:rPr>
        <w:t>燃</w:t>
      </w:r>
      <w:r>
        <w:rPr>
          <w:rFonts w:ascii="Times New Roman" w:eastAsia="黑体"/>
          <w:szCs w:val="21"/>
        </w:rPr>
        <w:t>生物质成型燃料锅炉房烟囱最低允许高度</w:t>
      </w:r>
    </w:p>
    <w:tbl>
      <w:tblPr>
        <w:tblStyle w:val="10"/>
        <w:tblW w:w="8550"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078"/>
        <w:gridCol w:w="779"/>
        <w:gridCol w:w="934"/>
        <w:gridCol w:w="1245"/>
        <w:gridCol w:w="1245"/>
        <w:gridCol w:w="1089"/>
        <w:gridCol w:w="1089"/>
        <w:gridCol w:w="109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cantSplit/>
          <w:trHeight w:val="575" w:hRule="atLeast"/>
          <w:jc w:val="center"/>
        </w:trPr>
        <w:tc>
          <w:tcPr>
            <w:tcW w:w="1078" w:type="dxa"/>
            <w:vMerge w:val="restart"/>
            <w:vAlign w:val="center"/>
          </w:tcPr>
          <w:p>
            <w:pPr>
              <w:widowControl/>
              <w:snapToGrid w:val="0"/>
              <w:jc w:val="center"/>
              <w:rPr>
                <w:rFonts w:eastAsiaTheme="minorEastAsia"/>
                <w:kern w:val="0"/>
                <w:sz w:val="18"/>
                <w:szCs w:val="18"/>
              </w:rPr>
            </w:pPr>
            <w:bookmarkStart w:id="115" w:name="_Hlk535415553"/>
            <w:r>
              <w:rPr>
                <w:rFonts w:eastAsiaTheme="minorEastAsia"/>
                <w:kern w:val="0"/>
                <w:sz w:val="18"/>
                <w:szCs w:val="18"/>
              </w:rPr>
              <w:t>锅炉房装机总容量</w:t>
            </w:r>
          </w:p>
        </w:tc>
        <w:tc>
          <w:tcPr>
            <w:tcW w:w="779" w:type="dxa"/>
            <w:vAlign w:val="center"/>
          </w:tcPr>
          <w:p>
            <w:pPr>
              <w:jc w:val="center"/>
              <w:rPr>
                <w:rFonts w:eastAsiaTheme="minorEastAsia"/>
                <w:kern w:val="0"/>
                <w:sz w:val="18"/>
                <w:szCs w:val="18"/>
              </w:rPr>
            </w:pPr>
            <w:r>
              <w:rPr>
                <w:rFonts w:eastAsiaTheme="minorEastAsia"/>
                <w:kern w:val="0"/>
                <w:sz w:val="18"/>
                <w:szCs w:val="18"/>
              </w:rPr>
              <w:t>MW</w:t>
            </w:r>
          </w:p>
        </w:tc>
        <w:tc>
          <w:tcPr>
            <w:tcW w:w="934" w:type="dxa"/>
            <w:vAlign w:val="center"/>
          </w:tcPr>
          <w:p>
            <w:pPr>
              <w:jc w:val="center"/>
              <w:rPr>
                <w:rFonts w:eastAsiaTheme="minorEastAsia"/>
                <w:kern w:val="0"/>
                <w:sz w:val="18"/>
                <w:szCs w:val="18"/>
              </w:rPr>
            </w:pPr>
            <w:r>
              <w:rPr>
                <w:rFonts w:eastAsiaTheme="minorEastAsia"/>
                <w:kern w:val="0"/>
                <w:sz w:val="18"/>
                <w:szCs w:val="18"/>
              </w:rPr>
              <w:t>＜0.7</w:t>
            </w:r>
          </w:p>
        </w:tc>
        <w:tc>
          <w:tcPr>
            <w:tcW w:w="1245" w:type="dxa"/>
            <w:vAlign w:val="center"/>
          </w:tcPr>
          <w:p>
            <w:pPr>
              <w:jc w:val="center"/>
              <w:rPr>
                <w:rFonts w:eastAsiaTheme="minorEastAsia"/>
                <w:kern w:val="0"/>
                <w:sz w:val="18"/>
                <w:szCs w:val="18"/>
              </w:rPr>
            </w:pPr>
            <w:r>
              <w:rPr>
                <w:rFonts w:eastAsiaTheme="minorEastAsia"/>
                <w:kern w:val="0"/>
                <w:sz w:val="18"/>
                <w:szCs w:val="18"/>
              </w:rPr>
              <w:t>0.7～＜1.4</w:t>
            </w:r>
          </w:p>
        </w:tc>
        <w:tc>
          <w:tcPr>
            <w:tcW w:w="1245" w:type="dxa"/>
            <w:vAlign w:val="center"/>
          </w:tcPr>
          <w:p>
            <w:pPr>
              <w:jc w:val="center"/>
              <w:rPr>
                <w:rFonts w:eastAsiaTheme="minorEastAsia"/>
                <w:kern w:val="0"/>
                <w:sz w:val="18"/>
                <w:szCs w:val="18"/>
              </w:rPr>
            </w:pPr>
            <w:r>
              <w:rPr>
                <w:rFonts w:eastAsiaTheme="minorEastAsia"/>
                <w:kern w:val="0"/>
                <w:sz w:val="18"/>
                <w:szCs w:val="18"/>
              </w:rPr>
              <w:t>1.4～＜2.8</w:t>
            </w:r>
          </w:p>
        </w:tc>
        <w:tc>
          <w:tcPr>
            <w:tcW w:w="1089" w:type="dxa"/>
            <w:vAlign w:val="center"/>
          </w:tcPr>
          <w:p>
            <w:pPr>
              <w:jc w:val="center"/>
              <w:rPr>
                <w:rFonts w:eastAsiaTheme="minorEastAsia"/>
                <w:kern w:val="0"/>
                <w:sz w:val="18"/>
                <w:szCs w:val="18"/>
              </w:rPr>
            </w:pPr>
            <w:r>
              <w:rPr>
                <w:rFonts w:eastAsiaTheme="minorEastAsia"/>
                <w:kern w:val="0"/>
                <w:sz w:val="18"/>
                <w:szCs w:val="18"/>
              </w:rPr>
              <w:t>2.8～＜7</w:t>
            </w:r>
          </w:p>
        </w:tc>
        <w:tc>
          <w:tcPr>
            <w:tcW w:w="1089" w:type="dxa"/>
            <w:vAlign w:val="center"/>
          </w:tcPr>
          <w:p>
            <w:pPr>
              <w:jc w:val="center"/>
              <w:rPr>
                <w:rFonts w:eastAsiaTheme="minorEastAsia"/>
                <w:kern w:val="0"/>
                <w:sz w:val="18"/>
                <w:szCs w:val="18"/>
              </w:rPr>
            </w:pPr>
            <w:r>
              <w:rPr>
                <w:rFonts w:eastAsiaTheme="minorEastAsia"/>
                <w:kern w:val="0"/>
                <w:sz w:val="18"/>
                <w:szCs w:val="18"/>
              </w:rPr>
              <w:t>7～＜14</w:t>
            </w:r>
          </w:p>
        </w:tc>
        <w:tc>
          <w:tcPr>
            <w:tcW w:w="1091" w:type="dxa"/>
            <w:vAlign w:val="center"/>
          </w:tcPr>
          <w:p>
            <w:pPr>
              <w:jc w:val="center"/>
              <w:rPr>
                <w:rFonts w:eastAsiaTheme="minorEastAsia"/>
                <w:kern w:val="0"/>
                <w:sz w:val="18"/>
                <w:szCs w:val="18"/>
              </w:rPr>
            </w:pPr>
            <w:r>
              <w:rPr>
                <w:rFonts w:ascii="宋体" w:hAnsi="宋体"/>
                <w:kern w:val="0"/>
                <w:sz w:val="18"/>
                <w:szCs w:val="18"/>
              </w:rPr>
              <w:t>≥</w:t>
            </w:r>
            <w:r>
              <w:rPr>
                <w:rFonts w:eastAsiaTheme="minorEastAsia"/>
                <w:kern w:val="0"/>
                <w:sz w:val="18"/>
                <w:szCs w:val="18"/>
              </w:rPr>
              <w:t>14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cantSplit/>
          <w:trHeight w:val="426" w:hRule="atLeast"/>
          <w:jc w:val="center"/>
        </w:trPr>
        <w:tc>
          <w:tcPr>
            <w:tcW w:w="1078" w:type="dxa"/>
            <w:vMerge w:val="continue"/>
            <w:vAlign w:val="center"/>
          </w:tcPr>
          <w:p>
            <w:pPr>
              <w:widowControl/>
              <w:snapToGrid w:val="0"/>
              <w:jc w:val="center"/>
              <w:rPr>
                <w:rFonts w:eastAsiaTheme="minorEastAsia"/>
                <w:kern w:val="0"/>
                <w:sz w:val="18"/>
                <w:szCs w:val="18"/>
              </w:rPr>
            </w:pPr>
          </w:p>
        </w:tc>
        <w:tc>
          <w:tcPr>
            <w:tcW w:w="779" w:type="dxa"/>
            <w:vAlign w:val="center"/>
          </w:tcPr>
          <w:p>
            <w:pPr>
              <w:jc w:val="center"/>
              <w:rPr>
                <w:rFonts w:eastAsiaTheme="minorEastAsia"/>
                <w:kern w:val="0"/>
                <w:sz w:val="18"/>
                <w:szCs w:val="18"/>
              </w:rPr>
            </w:pPr>
            <w:r>
              <w:rPr>
                <w:rFonts w:eastAsiaTheme="minorEastAsia"/>
                <w:kern w:val="0"/>
                <w:sz w:val="18"/>
                <w:szCs w:val="18"/>
              </w:rPr>
              <w:t>t/h</w:t>
            </w:r>
          </w:p>
        </w:tc>
        <w:tc>
          <w:tcPr>
            <w:tcW w:w="934" w:type="dxa"/>
            <w:vAlign w:val="center"/>
          </w:tcPr>
          <w:p>
            <w:pPr>
              <w:jc w:val="center"/>
              <w:rPr>
                <w:rFonts w:eastAsiaTheme="minorEastAsia"/>
                <w:kern w:val="0"/>
                <w:sz w:val="18"/>
                <w:szCs w:val="18"/>
              </w:rPr>
            </w:pPr>
            <w:r>
              <w:rPr>
                <w:rFonts w:eastAsiaTheme="minorEastAsia"/>
                <w:kern w:val="0"/>
                <w:sz w:val="18"/>
                <w:szCs w:val="18"/>
              </w:rPr>
              <w:t>＜1</w:t>
            </w:r>
          </w:p>
        </w:tc>
        <w:tc>
          <w:tcPr>
            <w:tcW w:w="1245" w:type="dxa"/>
            <w:vAlign w:val="center"/>
          </w:tcPr>
          <w:p>
            <w:pPr>
              <w:jc w:val="center"/>
              <w:rPr>
                <w:rFonts w:eastAsiaTheme="minorEastAsia"/>
                <w:kern w:val="0"/>
                <w:sz w:val="18"/>
                <w:szCs w:val="18"/>
              </w:rPr>
            </w:pPr>
            <w:r>
              <w:rPr>
                <w:rFonts w:eastAsiaTheme="minorEastAsia"/>
                <w:kern w:val="0"/>
                <w:sz w:val="18"/>
                <w:szCs w:val="18"/>
              </w:rPr>
              <w:t>1～＜2</w:t>
            </w:r>
          </w:p>
        </w:tc>
        <w:tc>
          <w:tcPr>
            <w:tcW w:w="1245" w:type="dxa"/>
            <w:vAlign w:val="center"/>
          </w:tcPr>
          <w:p>
            <w:pPr>
              <w:jc w:val="center"/>
              <w:rPr>
                <w:rFonts w:eastAsiaTheme="minorEastAsia"/>
                <w:kern w:val="0"/>
                <w:sz w:val="18"/>
                <w:szCs w:val="18"/>
              </w:rPr>
            </w:pPr>
            <w:r>
              <w:rPr>
                <w:rFonts w:eastAsiaTheme="minorEastAsia"/>
                <w:kern w:val="0"/>
                <w:sz w:val="18"/>
                <w:szCs w:val="18"/>
              </w:rPr>
              <w:t>2～＜4</w:t>
            </w:r>
          </w:p>
        </w:tc>
        <w:tc>
          <w:tcPr>
            <w:tcW w:w="1089" w:type="dxa"/>
            <w:vAlign w:val="center"/>
          </w:tcPr>
          <w:p>
            <w:pPr>
              <w:jc w:val="center"/>
              <w:rPr>
                <w:rFonts w:eastAsiaTheme="minorEastAsia"/>
                <w:kern w:val="0"/>
                <w:sz w:val="18"/>
                <w:szCs w:val="18"/>
              </w:rPr>
            </w:pPr>
            <w:r>
              <w:rPr>
                <w:rFonts w:eastAsiaTheme="minorEastAsia"/>
                <w:kern w:val="0"/>
                <w:sz w:val="18"/>
                <w:szCs w:val="18"/>
              </w:rPr>
              <w:t>4～＜10</w:t>
            </w:r>
          </w:p>
        </w:tc>
        <w:tc>
          <w:tcPr>
            <w:tcW w:w="1089" w:type="dxa"/>
            <w:vAlign w:val="center"/>
          </w:tcPr>
          <w:p>
            <w:pPr>
              <w:jc w:val="center"/>
              <w:rPr>
                <w:rFonts w:eastAsiaTheme="minorEastAsia"/>
                <w:kern w:val="0"/>
                <w:sz w:val="18"/>
                <w:szCs w:val="18"/>
              </w:rPr>
            </w:pPr>
            <w:r>
              <w:rPr>
                <w:rFonts w:eastAsiaTheme="minorEastAsia"/>
                <w:kern w:val="0"/>
                <w:sz w:val="18"/>
                <w:szCs w:val="18"/>
              </w:rPr>
              <w:t>10～＜20</w:t>
            </w:r>
          </w:p>
        </w:tc>
        <w:tc>
          <w:tcPr>
            <w:tcW w:w="1091" w:type="dxa"/>
            <w:vAlign w:val="center"/>
          </w:tcPr>
          <w:p>
            <w:pPr>
              <w:jc w:val="center"/>
              <w:rPr>
                <w:rFonts w:eastAsiaTheme="minorEastAsia"/>
                <w:kern w:val="0"/>
                <w:sz w:val="18"/>
                <w:szCs w:val="18"/>
              </w:rPr>
            </w:pPr>
            <w:r>
              <w:rPr>
                <w:rFonts w:ascii="宋体" w:hAnsi="宋体"/>
                <w:kern w:val="0"/>
                <w:sz w:val="18"/>
                <w:szCs w:val="18"/>
              </w:rPr>
              <w:t>≥</w:t>
            </w:r>
            <w:r>
              <w:rPr>
                <w:rFonts w:eastAsiaTheme="minorEastAsia"/>
                <w:kern w:val="0"/>
                <w:sz w:val="18"/>
                <w:szCs w:val="18"/>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cantSplit/>
          <w:jc w:val="center"/>
        </w:trPr>
        <w:tc>
          <w:tcPr>
            <w:tcW w:w="1078" w:type="dxa"/>
            <w:vAlign w:val="center"/>
          </w:tcPr>
          <w:p>
            <w:pPr>
              <w:widowControl/>
              <w:snapToGrid w:val="0"/>
              <w:jc w:val="center"/>
              <w:rPr>
                <w:rFonts w:eastAsiaTheme="minorEastAsia"/>
                <w:kern w:val="0"/>
                <w:sz w:val="18"/>
                <w:szCs w:val="18"/>
              </w:rPr>
            </w:pPr>
            <w:r>
              <w:rPr>
                <w:rFonts w:eastAsiaTheme="minorEastAsia"/>
                <w:kern w:val="0"/>
                <w:sz w:val="18"/>
                <w:szCs w:val="18"/>
              </w:rPr>
              <w:t>烟囱最低允许高度</w:t>
            </w:r>
          </w:p>
        </w:tc>
        <w:tc>
          <w:tcPr>
            <w:tcW w:w="779" w:type="dxa"/>
            <w:vAlign w:val="center"/>
          </w:tcPr>
          <w:p>
            <w:pPr>
              <w:jc w:val="center"/>
              <w:rPr>
                <w:rFonts w:eastAsiaTheme="minorEastAsia"/>
                <w:kern w:val="0"/>
                <w:sz w:val="18"/>
                <w:szCs w:val="18"/>
              </w:rPr>
            </w:pPr>
            <w:r>
              <w:rPr>
                <w:rFonts w:eastAsiaTheme="minorEastAsia"/>
                <w:kern w:val="0"/>
                <w:sz w:val="18"/>
                <w:szCs w:val="18"/>
              </w:rPr>
              <w:t>m</w:t>
            </w:r>
          </w:p>
        </w:tc>
        <w:tc>
          <w:tcPr>
            <w:tcW w:w="934" w:type="dxa"/>
            <w:vAlign w:val="center"/>
          </w:tcPr>
          <w:p>
            <w:pPr>
              <w:jc w:val="center"/>
              <w:rPr>
                <w:rFonts w:eastAsiaTheme="minorEastAsia"/>
                <w:kern w:val="0"/>
                <w:sz w:val="18"/>
                <w:szCs w:val="18"/>
              </w:rPr>
            </w:pPr>
            <w:r>
              <w:rPr>
                <w:rFonts w:eastAsiaTheme="minorEastAsia"/>
                <w:kern w:val="0"/>
                <w:sz w:val="18"/>
                <w:szCs w:val="18"/>
              </w:rPr>
              <w:t>20</w:t>
            </w:r>
          </w:p>
        </w:tc>
        <w:tc>
          <w:tcPr>
            <w:tcW w:w="1245" w:type="dxa"/>
            <w:vAlign w:val="center"/>
          </w:tcPr>
          <w:p>
            <w:pPr>
              <w:jc w:val="center"/>
              <w:rPr>
                <w:rFonts w:eastAsiaTheme="minorEastAsia"/>
                <w:kern w:val="0"/>
                <w:sz w:val="18"/>
                <w:szCs w:val="18"/>
              </w:rPr>
            </w:pPr>
            <w:r>
              <w:rPr>
                <w:rFonts w:eastAsiaTheme="minorEastAsia"/>
                <w:kern w:val="0"/>
                <w:sz w:val="18"/>
                <w:szCs w:val="18"/>
              </w:rPr>
              <w:t>25</w:t>
            </w:r>
          </w:p>
        </w:tc>
        <w:tc>
          <w:tcPr>
            <w:tcW w:w="1245" w:type="dxa"/>
            <w:vAlign w:val="center"/>
          </w:tcPr>
          <w:p>
            <w:pPr>
              <w:jc w:val="center"/>
              <w:rPr>
                <w:rFonts w:eastAsiaTheme="minorEastAsia"/>
                <w:kern w:val="0"/>
                <w:sz w:val="18"/>
                <w:szCs w:val="18"/>
              </w:rPr>
            </w:pPr>
            <w:r>
              <w:rPr>
                <w:rFonts w:eastAsiaTheme="minorEastAsia"/>
                <w:kern w:val="0"/>
                <w:sz w:val="18"/>
                <w:szCs w:val="18"/>
              </w:rPr>
              <w:t>30</w:t>
            </w:r>
          </w:p>
        </w:tc>
        <w:tc>
          <w:tcPr>
            <w:tcW w:w="1089" w:type="dxa"/>
            <w:vAlign w:val="center"/>
          </w:tcPr>
          <w:p>
            <w:pPr>
              <w:jc w:val="center"/>
              <w:rPr>
                <w:rFonts w:eastAsiaTheme="minorEastAsia"/>
                <w:kern w:val="0"/>
                <w:sz w:val="18"/>
                <w:szCs w:val="18"/>
              </w:rPr>
            </w:pPr>
            <w:r>
              <w:rPr>
                <w:rFonts w:eastAsiaTheme="minorEastAsia"/>
                <w:kern w:val="0"/>
                <w:sz w:val="18"/>
                <w:szCs w:val="18"/>
              </w:rPr>
              <w:t>35</w:t>
            </w:r>
          </w:p>
        </w:tc>
        <w:tc>
          <w:tcPr>
            <w:tcW w:w="1089" w:type="dxa"/>
            <w:vAlign w:val="center"/>
          </w:tcPr>
          <w:p>
            <w:pPr>
              <w:jc w:val="center"/>
              <w:rPr>
                <w:rFonts w:eastAsiaTheme="minorEastAsia"/>
                <w:kern w:val="0"/>
                <w:sz w:val="18"/>
                <w:szCs w:val="18"/>
              </w:rPr>
            </w:pPr>
            <w:r>
              <w:rPr>
                <w:rFonts w:eastAsiaTheme="minorEastAsia"/>
                <w:kern w:val="0"/>
                <w:sz w:val="18"/>
                <w:szCs w:val="18"/>
              </w:rPr>
              <w:t>40</w:t>
            </w:r>
          </w:p>
        </w:tc>
        <w:tc>
          <w:tcPr>
            <w:tcW w:w="1091" w:type="dxa"/>
            <w:vAlign w:val="center"/>
          </w:tcPr>
          <w:p>
            <w:pPr>
              <w:jc w:val="center"/>
              <w:rPr>
                <w:rFonts w:eastAsiaTheme="minorEastAsia"/>
                <w:kern w:val="0"/>
                <w:sz w:val="18"/>
                <w:szCs w:val="18"/>
              </w:rPr>
            </w:pPr>
            <w:r>
              <w:rPr>
                <w:rFonts w:eastAsiaTheme="minorEastAsia"/>
                <w:kern w:val="0"/>
                <w:sz w:val="18"/>
                <w:szCs w:val="18"/>
              </w:rPr>
              <w:t>45</w:t>
            </w:r>
          </w:p>
        </w:tc>
      </w:tr>
      <w:bookmarkEnd w:id="115"/>
    </w:tbl>
    <w:p/>
    <w:p>
      <w:pPr>
        <w:pStyle w:val="21"/>
        <w:ind w:left="0"/>
        <w:rPr>
          <w:rFonts w:ascii="Times New Roman" w:eastAsia="宋体"/>
        </w:rPr>
      </w:pPr>
      <w:bookmarkStart w:id="116" w:name="_Hlk535415536"/>
      <w:r>
        <w:rPr>
          <w:rFonts w:ascii="Times New Roman" w:eastAsia="宋体"/>
        </w:rPr>
        <w:t>不同时段建设的锅炉，若采用混合方式排放烟气，且选择的监控位置只能监测混合烟气中的大气污染物浓度，应执行各个时段限值中最严格的排放限值。</w:t>
      </w:r>
    </w:p>
    <w:bookmarkEnd w:id="116"/>
    <w:p>
      <w:pPr>
        <w:pStyle w:val="20"/>
        <w:rPr>
          <w:rFonts w:ascii="Times New Roman"/>
        </w:rPr>
      </w:pPr>
      <w:r>
        <w:rPr>
          <w:rFonts w:ascii="Times New Roman"/>
        </w:rPr>
        <w:t xml:space="preserve"> </w:t>
      </w:r>
      <w:bookmarkStart w:id="117" w:name="_Toc513038585"/>
      <w:r>
        <w:rPr>
          <w:rFonts w:ascii="Times New Roman"/>
        </w:rPr>
        <w:t>大气污染物监测要求</w:t>
      </w:r>
      <w:bookmarkEnd w:id="117"/>
    </w:p>
    <w:p>
      <w:pPr>
        <w:pStyle w:val="21"/>
        <w:spacing w:line="360" w:lineRule="auto"/>
        <w:ind w:left="0"/>
        <w:rPr>
          <w:rFonts w:ascii="Times New Roman"/>
        </w:rPr>
      </w:pPr>
      <w:bookmarkStart w:id="118" w:name="_Hlk535415413"/>
      <w:bookmarkStart w:id="119" w:name="_Hlk535415332"/>
      <w:bookmarkStart w:id="120" w:name="_Hlk535412388"/>
      <w:r>
        <w:rPr>
          <w:rFonts w:ascii="Times New Roman"/>
        </w:rPr>
        <w:t>污染物采样与监测要求</w:t>
      </w:r>
      <w:bookmarkEnd w:id="118"/>
    </w:p>
    <w:bookmarkEnd w:id="119"/>
    <w:p>
      <w:pPr>
        <w:pStyle w:val="27"/>
        <w:spacing w:line="360" w:lineRule="auto"/>
        <w:ind w:firstLine="0" w:firstLineChars="0"/>
        <w:rPr>
          <w:rFonts w:ascii="Times New Roman"/>
        </w:rPr>
      </w:pPr>
      <w:bookmarkStart w:id="121" w:name="_Hlk535415427"/>
      <w:bookmarkStart w:id="122" w:name="_Hlk535415354"/>
      <w:r>
        <w:rPr>
          <w:rFonts w:ascii="黑体" w:hAnsi="黑体" w:eastAsia="黑体"/>
        </w:rPr>
        <w:t xml:space="preserve">5.1.1 </w:t>
      </w:r>
      <w:r>
        <w:rPr>
          <w:rFonts w:ascii="Times New Roman"/>
        </w:rPr>
        <w:t>锅炉使用</w:t>
      </w:r>
      <w:r>
        <w:rPr>
          <w:rFonts w:hint="eastAsia" w:ascii="Times New Roman"/>
        </w:rPr>
        <w:t>企业</w:t>
      </w:r>
      <w:r>
        <w:rPr>
          <w:rFonts w:ascii="Times New Roman"/>
        </w:rPr>
        <w:t>应按照有关法律和《环境监测管理办法》等规定，建立企业监测制度，制定监测方案，对污染物排放状况及其对周边环境质量的影响开展自行监测，保存原始监测记录，并公布监测结果。</w:t>
      </w:r>
    </w:p>
    <w:p>
      <w:pPr>
        <w:spacing w:line="360" w:lineRule="auto"/>
        <w:rPr>
          <w:kern w:val="0"/>
          <w:szCs w:val="21"/>
        </w:rPr>
      </w:pPr>
      <w:r>
        <w:rPr>
          <w:rFonts w:ascii="黑体" w:hAnsi="黑体" w:eastAsia="黑体"/>
        </w:rPr>
        <w:t xml:space="preserve">5.1.2 </w:t>
      </w:r>
      <w:r>
        <w:t>锅炉使用企业应按照环境监测管理规定和技术规范的要求，设计、建设、维护永久性采样</w:t>
      </w:r>
      <w:r>
        <w:rPr>
          <w:kern w:val="0"/>
          <w:szCs w:val="21"/>
        </w:rPr>
        <w:t>口、采样测试平台和排污口标志。</w:t>
      </w:r>
    </w:p>
    <w:p>
      <w:pPr>
        <w:spacing w:line="360" w:lineRule="auto"/>
        <w:rPr>
          <w:kern w:val="0"/>
          <w:szCs w:val="21"/>
        </w:rPr>
      </w:pPr>
      <w:r>
        <w:rPr>
          <w:rFonts w:ascii="黑体" w:hAnsi="黑体" w:eastAsia="黑体"/>
        </w:rPr>
        <w:t xml:space="preserve">5.1.3 </w:t>
      </w:r>
      <w:r>
        <w:rPr>
          <w:rFonts w:eastAsiaTheme="minorEastAsia"/>
        </w:rPr>
        <w:t>对锅炉排放废气的采样，应根据监测污染物的种类，在规定的污染物排放监控位置进行，有废气处理设施的，应在该设施后监测。排气筒中大气污染物的监测采样按GB 5468、GB/T 16157或HJ/T 397规定</w:t>
      </w:r>
      <w:r>
        <w:rPr>
          <w:rFonts w:eastAsiaTheme="minorEastAsia"/>
          <w:kern w:val="0"/>
          <w:szCs w:val="21"/>
        </w:rPr>
        <w:t>执行。</w:t>
      </w:r>
    </w:p>
    <w:p>
      <w:pPr>
        <w:spacing w:line="360" w:lineRule="auto"/>
      </w:pPr>
      <w:r>
        <w:rPr>
          <w:rFonts w:ascii="黑体" w:hAnsi="黑体" w:eastAsia="黑体"/>
        </w:rPr>
        <w:t xml:space="preserve">5.1.4 </w:t>
      </w:r>
      <w:r>
        <w:rPr>
          <w:rFonts w:eastAsiaTheme="minorEastAsia"/>
        </w:rPr>
        <w:t>10t/h</w:t>
      </w:r>
      <w:r>
        <w:rPr>
          <w:rFonts w:hint="eastAsia" w:eastAsiaTheme="minorEastAsia"/>
        </w:rPr>
        <w:t>及以上蒸汽锅炉和7</w:t>
      </w:r>
      <w:r>
        <w:rPr>
          <w:rFonts w:eastAsiaTheme="minorEastAsia"/>
        </w:rPr>
        <w:t>MW</w:t>
      </w:r>
      <w:r>
        <w:rPr>
          <w:rFonts w:hint="eastAsia" w:eastAsiaTheme="minorEastAsia"/>
        </w:rPr>
        <w:t>及以上热水锅炉</w:t>
      </w:r>
      <w:r>
        <w:rPr>
          <w:rFonts w:eastAsiaTheme="minorEastAsia"/>
        </w:rPr>
        <w:t>应安装</w:t>
      </w:r>
      <w:r>
        <w:rPr>
          <w:rFonts w:hint="eastAsia" w:eastAsiaTheme="minorEastAsia"/>
        </w:rPr>
        <w:t>污染物</w:t>
      </w:r>
      <w:r>
        <w:rPr>
          <w:rFonts w:eastAsiaTheme="minorEastAsia"/>
        </w:rPr>
        <w:t>排放</w:t>
      </w:r>
      <w:r>
        <w:rPr>
          <w:rFonts w:hint="eastAsia" w:eastAsiaTheme="minorEastAsia"/>
        </w:rPr>
        <w:t>自动监控设备</w:t>
      </w:r>
      <w:r>
        <w:rPr>
          <w:rFonts w:eastAsiaTheme="minorEastAsia"/>
        </w:rPr>
        <w:t>，</w:t>
      </w:r>
      <w:r>
        <w:rPr>
          <w:rFonts w:hint="eastAsia" w:eastAsiaTheme="minorEastAsia"/>
        </w:rPr>
        <w:t>与生态环境主管部门的监控中心联网，</w:t>
      </w:r>
      <w:r>
        <w:rPr>
          <w:rFonts w:eastAsiaTheme="minorEastAsia"/>
        </w:rPr>
        <w:t>并保证设备正常运行</w:t>
      </w:r>
      <w:r>
        <w:rPr>
          <w:rFonts w:hint="eastAsia" w:eastAsiaTheme="minorEastAsia"/>
        </w:rPr>
        <w:t>，</w:t>
      </w:r>
      <w:r>
        <w:rPr>
          <w:rFonts w:eastAsiaTheme="minorEastAsia"/>
        </w:rPr>
        <w:t>按有关法</w:t>
      </w:r>
      <w:r>
        <w:rPr>
          <w:rFonts w:asciiTheme="minorEastAsia" w:hAnsiTheme="minorEastAsia" w:eastAsiaTheme="minorEastAsia"/>
        </w:rPr>
        <w:t>律和</w:t>
      </w:r>
      <w:r>
        <w:rPr>
          <w:rFonts w:hint="eastAsia" w:asciiTheme="minorEastAsia" w:hAnsiTheme="minorEastAsia" w:eastAsiaTheme="minorEastAsia"/>
        </w:rPr>
        <w:t>《</w:t>
      </w:r>
      <w:r>
        <w:rPr>
          <w:rFonts w:eastAsiaTheme="minorEastAsia"/>
        </w:rPr>
        <w:t>污染源自动监控管理办法》的规定</w:t>
      </w:r>
      <w:r>
        <w:rPr>
          <w:rFonts w:hint="eastAsia" w:eastAsiaTheme="minorEastAsia"/>
        </w:rPr>
        <w:t>执行</w:t>
      </w:r>
      <w:r>
        <w:rPr>
          <w:rFonts w:eastAsiaTheme="minorEastAsia"/>
        </w:rPr>
        <w:t>。</w:t>
      </w:r>
      <w:r>
        <w:rPr>
          <w:rFonts w:hint="eastAsia" w:eastAsiaTheme="minorEastAsia"/>
        </w:rPr>
        <w:t>自动监控设备采用日均值作为判定是否达标的依据。</w:t>
      </w:r>
    </w:p>
    <w:p>
      <w:pPr>
        <w:spacing w:line="360" w:lineRule="auto"/>
      </w:pPr>
      <w:r>
        <w:rPr>
          <w:rFonts w:ascii="黑体" w:hAnsi="黑体" w:eastAsia="黑体"/>
        </w:rPr>
        <w:t xml:space="preserve">5.1.5 </w:t>
      </w:r>
      <w:r>
        <w:rPr>
          <w:rFonts w:eastAsiaTheme="minorEastAsia"/>
        </w:rPr>
        <w:t>对大气污染物的监测，应按照HJ/T 373的要求进行监测质量保证和质量控制。</w:t>
      </w:r>
    </w:p>
    <w:p>
      <w:pPr>
        <w:spacing w:line="360" w:lineRule="auto"/>
        <w:rPr>
          <w:rFonts w:eastAsiaTheme="minorEastAsia"/>
        </w:rPr>
      </w:pPr>
      <w:bookmarkStart w:id="123" w:name="_Hlk535416974"/>
      <w:r>
        <w:rPr>
          <w:rFonts w:ascii="黑体" w:hAnsi="黑体" w:eastAsia="黑体"/>
        </w:rPr>
        <w:t xml:space="preserve">5.1.6 </w:t>
      </w:r>
      <w:bookmarkEnd w:id="123"/>
      <w:r>
        <w:rPr>
          <w:rFonts w:eastAsiaTheme="minorEastAsia"/>
        </w:rPr>
        <w:t>对大气污染物排放浓度的测定采用表5所列的方法标准。</w:t>
      </w:r>
      <w:bookmarkEnd w:id="121"/>
    </w:p>
    <w:bookmarkEnd w:id="120"/>
    <w:bookmarkEnd w:id="122"/>
    <w:p>
      <w:pPr>
        <w:pStyle w:val="26"/>
        <w:numPr>
          <w:ilvl w:val="0"/>
          <w:numId w:val="0"/>
        </w:numPr>
        <w:spacing w:before="156" w:beforeLines="50"/>
        <w:rPr>
          <w:rFonts w:ascii="Times New Roman"/>
          <w:szCs w:val="21"/>
        </w:rPr>
      </w:pPr>
      <w:bookmarkStart w:id="124" w:name="_Hlk535412463"/>
      <w:r>
        <w:rPr>
          <w:rFonts w:ascii="Times New Roman"/>
          <w:szCs w:val="21"/>
        </w:rPr>
        <w:t>表5  大气污染物浓度测定方法标准</w:t>
      </w:r>
    </w:p>
    <w:tbl>
      <w:tblPr>
        <w:tblStyle w:val="11"/>
        <w:tblW w:w="85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328"/>
        <w:gridCol w:w="5124"/>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613" w:type="dxa"/>
            <w:vAlign w:val="center"/>
          </w:tcPr>
          <w:p>
            <w:pPr>
              <w:jc w:val="center"/>
              <w:rPr>
                <w:rFonts w:eastAsiaTheme="minorEastAsia"/>
                <w:sz w:val="18"/>
                <w:szCs w:val="18"/>
              </w:rPr>
            </w:pPr>
            <w:r>
              <w:rPr>
                <w:rFonts w:eastAsiaTheme="minorEastAsia"/>
                <w:sz w:val="18"/>
                <w:szCs w:val="18"/>
              </w:rPr>
              <w:t>序号</w:t>
            </w:r>
          </w:p>
        </w:tc>
        <w:tc>
          <w:tcPr>
            <w:tcW w:w="1328" w:type="dxa"/>
            <w:vAlign w:val="center"/>
          </w:tcPr>
          <w:p>
            <w:pPr>
              <w:jc w:val="center"/>
              <w:rPr>
                <w:rFonts w:eastAsiaTheme="minorEastAsia"/>
                <w:sz w:val="18"/>
                <w:szCs w:val="18"/>
              </w:rPr>
            </w:pPr>
            <w:r>
              <w:rPr>
                <w:rFonts w:eastAsiaTheme="minorEastAsia"/>
                <w:sz w:val="18"/>
                <w:szCs w:val="18"/>
              </w:rPr>
              <w:t>污染物项目</w:t>
            </w:r>
          </w:p>
        </w:tc>
        <w:tc>
          <w:tcPr>
            <w:tcW w:w="5124" w:type="dxa"/>
            <w:vAlign w:val="center"/>
          </w:tcPr>
          <w:p>
            <w:pPr>
              <w:jc w:val="center"/>
              <w:rPr>
                <w:rFonts w:eastAsiaTheme="minorEastAsia"/>
                <w:sz w:val="18"/>
                <w:szCs w:val="18"/>
              </w:rPr>
            </w:pPr>
            <w:r>
              <w:rPr>
                <w:rFonts w:eastAsiaTheme="minorEastAsia"/>
                <w:sz w:val="18"/>
                <w:szCs w:val="18"/>
              </w:rPr>
              <w:t>方法标准名称</w:t>
            </w:r>
          </w:p>
        </w:tc>
        <w:tc>
          <w:tcPr>
            <w:tcW w:w="1436" w:type="dxa"/>
            <w:vAlign w:val="center"/>
          </w:tcPr>
          <w:p>
            <w:pPr>
              <w:jc w:val="center"/>
              <w:rPr>
                <w:rFonts w:eastAsiaTheme="minorEastAsia"/>
                <w:sz w:val="18"/>
                <w:szCs w:val="18"/>
              </w:rPr>
            </w:pPr>
            <w:r>
              <w:rPr>
                <w:rFonts w:eastAsiaTheme="minorEastAsia"/>
                <w:sz w:val="18"/>
                <w:szCs w:val="18"/>
              </w:rPr>
              <w:t>标准编号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restart"/>
            <w:vAlign w:val="center"/>
          </w:tcPr>
          <w:p>
            <w:pPr>
              <w:jc w:val="center"/>
              <w:rPr>
                <w:rFonts w:eastAsiaTheme="minorEastAsia"/>
                <w:sz w:val="18"/>
                <w:szCs w:val="18"/>
              </w:rPr>
            </w:pPr>
            <w:r>
              <w:rPr>
                <w:rFonts w:eastAsiaTheme="minorEastAsia"/>
                <w:sz w:val="18"/>
                <w:szCs w:val="18"/>
              </w:rPr>
              <w:t>1</w:t>
            </w:r>
          </w:p>
        </w:tc>
        <w:tc>
          <w:tcPr>
            <w:tcW w:w="1328" w:type="dxa"/>
            <w:vMerge w:val="restart"/>
            <w:vAlign w:val="center"/>
          </w:tcPr>
          <w:p>
            <w:pPr>
              <w:jc w:val="center"/>
              <w:rPr>
                <w:rFonts w:eastAsiaTheme="minorEastAsia"/>
                <w:sz w:val="18"/>
                <w:szCs w:val="18"/>
              </w:rPr>
            </w:pPr>
            <w:r>
              <w:rPr>
                <w:rFonts w:eastAsiaTheme="minorEastAsia"/>
                <w:sz w:val="18"/>
                <w:szCs w:val="18"/>
              </w:rPr>
              <w:t>颗粒物</w:t>
            </w:r>
          </w:p>
        </w:tc>
        <w:tc>
          <w:tcPr>
            <w:tcW w:w="5124" w:type="dxa"/>
            <w:vAlign w:val="center"/>
          </w:tcPr>
          <w:p>
            <w:pPr>
              <w:rPr>
                <w:rFonts w:eastAsiaTheme="minorEastAsia"/>
                <w:sz w:val="18"/>
                <w:szCs w:val="18"/>
              </w:rPr>
            </w:pPr>
            <w:r>
              <w:rPr>
                <w:rFonts w:eastAsiaTheme="minorEastAsia"/>
                <w:sz w:val="18"/>
                <w:szCs w:val="18"/>
              </w:rPr>
              <w:t>锅炉烟尘测试方法</w:t>
            </w:r>
          </w:p>
        </w:tc>
        <w:tc>
          <w:tcPr>
            <w:tcW w:w="1436" w:type="dxa"/>
            <w:vAlign w:val="center"/>
          </w:tcPr>
          <w:p>
            <w:pPr>
              <w:jc w:val="center"/>
              <w:rPr>
                <w:rFonts w:eastAsiaTheme="minorEastAsia"/>
                <w:sz w:val="18"/>
                <w:szCs w:val="18"/>
              </w:rPr>
            </w:pPr>
            <w:r>
              <w:rPr>
                <w:rFonts w:eastAsiaTheme="minorEastAsia"/>
                <w:sz w:val="18"/>
                <w:szCs w:val="18"/>
              </w:rPr>
              <w:t>GB 5468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center"/>
          </w:tcPr>
          <w:p>
            <w:pPr>
              <w:rPr>
                <w:rFonts w:eastAsiaTheme="minorEastAsia"/>
                <w:sz w:val="18"/>
                <w:szCs w:val="18"/>
              </w:rPr>
            </w:pPr>
            <w:r>
              <w:rPr>
                <w:rFonts w:eastAsiaTheme="minorEastAsia"/>
                <w:sz w:val="18"/>
                <w:szCs w:val="18"/>
              </w:rPr>
              <w:t>固定污染源排气中颗粒物测定与气态污染物采样方法</w:t>
            </w:r>
          </w:p>
        </w:tc>
        <w:tc>
          <w:tcPr>
            <w:tcW w:w="1436" w:type="dxa"/>
            <w:vAlign w:val="center"/>
          </w:tcPr>
          <w:p>
            <w:pPr>
              <w:jc w:val="center"/>
              <w:rPr>
                <w:rFonts w:eastAsiaTheme="minorEastAsia"/>
                <w:sz w:val="18"/>
                <w:szCs w:val="18"/>
              </w:rPr>
            </w:pPr>
            <w:r>
              <w:rPr>
                <w:rFonts w:eastAsiaTheme="minorEastAsia"/>
                <w:sz w:val="18"/>
                <w:szCs w:val="18"/>
              </w:rPr>
              <w:t>GB/T 16157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bottom"/>
          </w:tcPr>
          <w:p>
            <w:pPr>
              <w:rPr>
                <w:rFonts w:eastAsiaTheme="minorEastAsia"/>
                <w:sz w:val="18"/>
                <w:szCs w:val="18"/>
              </w:rPr>
            </w:pPr>
            <w:r>
              <w:rPr>
                <w:rFonts w:eastAsiaTheme="minorEastAsia"/>
                <w:sz w:val="18"/>
                <w:szCs w:val="18"/>
              </w:rPr>
              <w:t>固定污染源废气 低浓度颗粒物的测定 重量法</w:t>
            </w:r>
          </w:p>
        </w:tc>
        <w:tc>
          <w:tcPr>
            <w:tcW w:w="1436" w:type="dxa"/>
            <w:vAlign w:val="center"/>
          </w:tcPr>
          <w:p>
            <w:pPr>
              <w:jc w:val="center"/>
              <w:rPr>
                <w:rFonts w:eastAsiaTheme="minorEastAsia"/>
                <w:sz w:val="18"/>
                <w:szCs w:val="18"/>
              </w:rPr>
            </w:pPr>
            <w:r>
              <w:rPr>
                <w:rFonts w:eastAsiaTheme="minorEastAsia"/>
                <w:sz w:val="18"/>
                <w:szCs w:val="18"/>
              </w:rPr>
              <w:t>HJ 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restart"/>
            <w:vAlign w:val="center"/>
          </w:tcPr>
          <w:p>
            <w:pPr>
              <w:jc w:val="center"/>
              <w:rPr>
                <w:rFonts w:eastAsiaTheme="minorEastAsia"/>
                <w:sz w:val="18"/>
                <w:szCs w:val="18"/>
              </w:rPr>
            </w:pPr>
            <w:r>
              <w:rPr>
                <w:rFonts w:eastAsiaTheme="minorEastAsia"/>
                <w:sz w:val="18"/>
                <w:szCs w:val="18"/>
              </w:rPr>
              <w:t>2</w:t>
            </w:r>
          </w:p>
        </w:tc>
        <w:tc>
          <w:tcPr>
            <w:tcW w:w="1328" w:type="dxa"/>
            <w:vMerge w:val="restart"/>
            <w:vAlign w:val="center"/>
          </w:tcPr>
          <w:p>
            <w:pPr>
              <w:jc w:val="center"/>
              <w:rPr>
                <w:rFonts w:eastAsiaTheme="minorEastAsia"/>
                <w:sz w:val="18"/>
                <w:szCs w:val="18"/>
              </w:rPr>
            </w:pPr>
            <w:r>
              <w:rPr>
                <w:rFonts w:eastAsiaTheme="minorEastAsia"/>
                <w:sz w:val="18"/>
                <w:szCs w:val="18"/>
              </w:rPr>
              <w:t>二氧化硫</w:t>
            </w:r>
          </w:p>
        </w:tc>
        <w:tc>
          <w:tcPr>
            <w:tcW w:w="5124" w:type="dxa"/>
            <w:vAlign w:val="center"/>
          </w:tcPr>
          <w:p>
            <w:pPr>
              <w:rPr>
                <w:rFonts w:eastAsiaTheme="minorEastAsia"/>
                <w:sz w:val="18"/>
                <w:szCs w:val="18"/>
              </w:rPr>
            </w:pPr>
            <w:r>
              <w:rPr>
                <w:rFonts w:eastAsiaTheme="minorEastAsia"/>
                <w:sz w:val="18"/>
                <w:szCs w:val="18"/>
              </w:rPr>
              <w:t>固定污染源排气中二氧化硫的测定 碘量法</w:t>
            </w:r>
          </w:p>
        </w:tc>
        <w:tc>
          <w:tcPr>
            <w:tcW w:w="1436" w:type="dxa"/>
            <w:vAlign w:val="center"/>
          </w:tcPr>
          <w:p>
            <w:pPr>
              <w:jc w:val="center"/>
              <w:rPr>
                <w:rFonts w:eastAsiaTheme="minorEastAsia"/>
                <w:sz w:val="18"/>
                <w:szCs w:val="18"/>
              </w:rPr>
            </w:pPr>
            <w:r>
              <w:rPr>
                <w:rFonts w:eastAsiaTheme="minorEastAsia"/>
                <w:sz w:val="18"/>
                <w:szCs w:val="18"/>
              </w:rPr>
              <w:t>HJ/T 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center"/>
          </w:tcPr>
          <w:p>
            <w:pPr>
              <w:rPr>
                <w:rFonts w:eastAsiaTheme="minorEastAsia"/>
                <w:sz w:val="18"/>
                <w:szCs w:val="18"/>
              </w:rPr>
            </w:pPr>
            <w:r>
              <w:rPr>
                <w:rFonts w:eastAsiaTheme="minorEastAsia"/>
                <w:sz w:val="18"/>
                <w:szCs w:val="18"/>
              </w:rPr>
              <w:t>固定污染源废气 二氧化硫的测定 定电位电解法</w:t>
            </w:r>
          </w:p>
        </w:tc>
        <w:tc>
          <w:tcPr>
            <w:tcW w:w="1436" w:type="dxa"/>
            <w:vAlign w:val="center"/>
          </w:tcPr>
          <w:p>
            <w:pPr>
              <w:jc w:val="center"/>
              <w:rPr>
                <w:rFonts w:eastAsiaTheme="minorEastAsia"/>
                <w:sz w:val="18"/>
                <w:szCs w:val="18"/>
              </w:rPr>
            </w:pPr>
            <w:r>
              <w:rPr>
                <w:rFonts w:eastAsiaTheme="minorEastAsia"/>
                <w:sz w:val="18"/>
                <w:szCs w:val="18"/>
              </w:rPr>
              <w:t>HJ 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center"/>
          </w:tcPr>
          <w:p>
            <w:pPr>
              <w:rPr>
                <w:rFonts w:eastAsiaTheme="minorEastAsia"/>
                <w:sz w:val="18"/>
                <w:szCs w:val="18"/>
              </w:rPr>
            </w:pPr>
            <w:r>
              <w:rPr>
                <w:rFonts w:eastAsiaTheme="minorEastAsia"/>
                <w:sz w:val="18"/>
                <w:szCs w:val="18"/>
              </w:rPr>
              <w:t>固定污染源废气 二氧化硫的测定 非分散红外吸收法</w:t>
            </w:r>
          </w:p>
        </w:tc>
        <w:tc>
          <w:tcPr>
            <w:tcW w:w="1436" w:type="dxa"/>
            <w:vAlign w:val="center"/>
          </w:tcPr>
          <w:p>
            <w:pPr>
              <w:jc w:val="center"/>
              <w:rPr>
                <w:rFonts w:eastAsiaTheme="minorEastAsia"/>
                <w:sz w:val="18"/>
                <w:szCs w:val="18"/>
              </w:rPr>
            </w:pPr>
            <w:r>
              <w:rPr>
                <w:rFonts w:eastAsiaTheme="minorEastAsia"/>
                <w:sz w:val="18"/>
                <w:szCs w:val="18"/>
              </w:rPr>
              <w:t>HJ 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restart"/>
            <w:vAlign w:val="center"/>
          </w:tcPr>
          <w:p>
            <w:pPr>
              <w:jc w:val="center"/>
              <w:rPr>
                <w:rFonts w:eastAsiaTheme="minorEastAsia"/>
                <w:sz w:val="18"/>
                <w:szCs w:val="18"/>
              </w:rPr>
            </w:pPr>
            <w:r>
              <w:rPr>
                <w:rFonts w:eastAsiaTheme="minorEastAsia"/>
                <w:sz w:val="18"/>
                <w:szCs w:val="18"/>
              </w:rPr>
              <w:t>3</w:t>
            </w:r>
          </w:p>
        </w:tc>
        <w:tc>
          <w:tcPr>
            <w:tcW w:w="1328" w:type="dxa"/>
            <w:vMerge w:val="restart"/>
            <w:vAlign w:val="center"/>
          </w:tcPr>
          <w:p>
            <w:pPr>
              <w:jc w:val="center"/>
              <w:rPr>
                <w:rFonts w:eastAsiaTheme="minorEastAsia"/>
                <w:sz w:val="18"/>
                <w:szCs w:val="18"/>
              </w:rPr>
            </w:pPr>
            <w:r>
              <w:rPr>
                <w:rFonts w:eastAsiaTheme="minorEastAsia"/>
                <w:sz w:val="18"/>
                <w:szCs w:val="18"/>
              </w:rPr>
              <w:t>氮氧化物</w:t>
            </w:r>
          </w:p>
        </w:tc>
        <w:tc>
          <w:tcPr>
            <w:tcW w:w="5124" w:type="dxa"/>
            <w:vAlign w:val="center"/>
          </w:tcPr>
          <w:p>
            <w:pPr>
              <w:rPr>
                <w:rFonts w:eastAsiaTheme="minorEastAsia"/>
                <w:sz w:val="18"/>
                <w:szCs w:val="18"/>
              </w:rPr>
            </w:pPr>
            <w:r>
              <w:rPr>
                <w:rFonts w:eastAsiaTheme="minorEastAsia"/>
                <w:sz w:val="18"/>
                <w:szCs w:val="18"/>
              </w:rPr>
              <w:t>固定污染源排气中氮氧化物的测定 紫外分光光度法</w:t>
            </w:r>
          </w:p>
        </w:tc>
        <w:tc>
          <w:tcPr>
            <w:tcW w:w="1436" w:type="dxa"/>
            <w:vAlign w:val="center"/>
          </w:tcPr>
          <w:p>
            <w:pPr>
              <w:jc w:val="center"/>
              <w:rPr>
                <w:rFonts w:eastAsiaTheme="minorEastAsia"/>
                <w:sz w:val="18"/>
                <w:szCs w:val="18"/>
              </w:rPr>
            </w:pPr>
            <w:r>
              <w:rPr>
                <w:rFonts w:eastAsiaTheme="minorEastAsia"/>
                <w:sz w:val="18"/>
                <w:szCs w:val="18"/>
              </w:rPr>
              <w:t>HJ/T 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center"/>
          </w:tcPr>
          <w:p>
            <w:pPr>
              <w:rPr>
                <w:rFonts w:eastAsiaTheme="minorEastAsia"/>
                <w:sz w:val="18"/>
                <w:szCs w:val="18"/>
              </w:rPr>
            </w:pPr>
            <w:r>
              <w:rPr>
                <w:rFonts w:eastAsiaTheme="minorEastAsia"/>
                <w:sz w:val="18"/>
                <w:szCs w:val="18"/>
              </w:rPr>
              <w:t>固定污染源排气中氮氧化物的测定 盐酸萘乙二胺分光光度法</w:t>
            </w:r>
          </w:p>
        </w:tc>
        <w:tc>
          <w:tcPr>
            <w:tcW w:w="1436" w:type="dxa"/>
            <w:vAlign w:val="center"/>
          </w:tcPr>
          <w:p>
            <w:pPr>
              <w:jc w:val="center"/>
              <w:rPr>
                <w:rFonts w:eastAsiaTheme="minorEastAsia"/>
                <w:sz w:val="18"/>
                <w:szCs w:val="18"/>
              </w:rPr>
            </w:pPr>
            <w:r>
              <w:rPr>
                <w:rFonts w:eastAsiaTheme="minorEastAsia"/>
                <w:sz w:val="18"/>
                <w:szCs w:val="18"/>
              </w:rPr>
              <w:t>HJ/T 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center"/>
          </w:tcPr>
          <w:p>
            <w:pPr>
              <w:rPr>
                <w:rFonts w:eastAsiaTheme="minorEastAsia"/>
                <w:sz w:val="18"/>
                <w:szCs w:val="18"/>
              </w:rPr>
            </w:pPr>
            <w:r>
              <w:rPr>
                <w:rFonts w:eastAsiaTheme="minorEastAsia"/>
                <w:sz w:val="18"/>
                <w:szCs w:val="18"/>
              </w:rPr>
              <w:t>固定污染源废气 氮氧化物的测定 非分散红外吸收法</w:t>
            </w:r>
          </w:p>
        </w:tc>
        <w:tc>
          <w:tcPr>
            <w:tcW w:w="1436" w:type="dxa"/>
            <w:vAlign w:val="center"/>
          </w:tcPr>
          <w:p>
            <w:pPr>
              <w:jc w:val="center"/>
              <w:rPr>
                <w:rFonts w:eastAsiaTheme="minorEastAsia"/>
                <w:sz w:val="18"/>
                <w:szCs w:val="18"/>
              </w:rPr>
            </w:pPr>
            <w:r>
              <w:rPr>
                <w:rFonts w:eastAsiaTheme="minorEastAsia"/>
                <w:sz w:val="18"/>
                <w:szCs w:val="18"/>
              </w:rPr>
              <w:t>HJ 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center"/>
          </w:tcPr>
          <w:p>
            <w:pPr>
              <w:rPr>
                <w:rFonts w:eastAsiaTheme="minorEastAsia"/>
                <w:sz w:val="18"/>
                <w:szCs w:val="18"/>
              </w:rPr>
            </w:pPr>
            <w:r>
              <w:rPr>
                <w:rFonts w:eastAsiaTheme="minorEastAsia"/>
                <w:sz w:val="18"/>
                <w:szCs w:val="18"/>
              </w:rPr>
              <w:t>固定污染源废气 氮氧化物的测定 定电位电解法</w:t>
            </w:r>
          </w:p>
        </w:tc>
        <w:tc>
          <w:tcPr>
            <w:tcW w:w="1436" w:type="dxa"/>
            <w:vAlign w:val="center"/>
          </w:tcPr>
          <w:p>
            <w:pPr>
              <w:jc w:val="center"/>
              <w:rPr>
                <w:rFonts w:eastAsiaTheme="minorEastAsia"/>
                <w:sz w:val="18"/>
                <w:szCs w:val="18"/>
              </w:rPr>
            </w:pPr>
            <w:r>
              <w:rPr>
                <w:rFonts w:eastAsiaTheme="minorEastAsia"/>
                <w:sz w:val="18"/>
                <w:szCs w:val="18"/>
              </w:rPr>
              <w:t>HJ 693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Align w:val="center"/>
          </w:tcPr>
          <w:p>
            <w:pPr>
              <w:jc w:val="center"/>
              <w:rPr>
                <w:rFonts w:eastAsiaTheme="minorEastAsia"/>
                <w:sz w:val="18"/>
                <w:szCs w:val="18"/>
              </w:rPr>
            </w:pPr>
            <w:r>
              <w:rPr>
                <w:rFonts w:eastAsiaTheme="minorEastAsia"/>
                <w:sz w:val="18"/>
                <w:szCs w:val="18"/>
              </w:rPr>
              <w:t>4</w:t>
            </w:r>
          </w:p>
        </w:tc>
        <w:tc>
          <w:tcPr>
            <w:tcW w:w="1328" w:type="dxa"/>
            <w:vAlign w:val="center"/>
          </w:tcPr>
          <w:p>
            <w:pPr>
              <w:jc w:val="center"/>
              <w:rPr>
                <w:rFonts w:eastAsiaTheme="minorEastAsia"/>
                <w:sz w:val="18"/>
                <w:szCs w:val="18"/>
              </w:rPr>
            </w:pPr>
            <w:r>
              <w:rPr>
                <w:rFonts w:eastAsiaTheme="minorEastAsia"/>
                <w:sz w:val="18"/>
                <w:szCs w:val="18"/>
              </w:rPr>
              <w:t>一氧化碳</w:t>
            </w:r>
          </w:p>
        </w:tc>
        <w:tc>
          <w:tcPr>
            <w:tcW w:w="5124" w:type="dxa"/>
            <w:vAlign w:val="center"/>
          </w:tcPr>
          <w:p>
            <w:pPr>
              <w:rPr>
                <w:rFonts w:eastAsiaTheme="minorEastAsia"/>
                <w:sz w:val="18"/>
                <w:szCs w:val="18"/>
              </w:rPr>
            </w:pPr>
            <w:r>
              <w:rPr>
                <w:rFonts w:eastAsiaTheme="minorEastAsia"/>
                <w:sz w:val="18"/>
                <w:szCs w:val="18"/>
              </w:rPr>
              <w:t>固定污染源排气中一氧化碳的测定 非色散红外吸收法</w:t>
            </w:r>
          </w:p>
        </w:tc>
        <w:tc>
          <w:tcPr>
            <w:tcW w:w="1436" w:type="dxa"/>
            <w:vAlign w:val="center"/>
          </w:tcPr>
          <w:p>
            <w:pPr>
              <w:jc w:val="center"/>
              <w:rPr>
                <w:rFonts w:eastAsiaTheme="minorEastAsia"/>
                <w:sz w:val="18"/>
                <w:szCs w:val="18"/>
              </w:rPr>
            </w:pPr>
            <w:r>
              <w:rPr>
                <w:rFonts w:eastAsiaTheme="minorEastAsia"/>
                <w:sz w:val="18"/>
                <w:szCs w:val="18"/>
              </w:rPr>
              <w:t>HJ/T 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restart"/>
            <w:vAlign w:val="center"/>
          </w:tcPr>
          <w:p>
            <w:pPr>
              <w:jc w:val="center"/>
              <w:rPr>
                <w:rFonts w:eastAsiaTheme="minorEastAsia"/>
                <w:sz w:val="18"/>
                <w:szCs w:val="18"/>
              </w:rPr>
            </w:pPr>
            <w:r>
              <w:rPr>
                <w:rFonts w:eastAsiaTheme="minorEastAsia"/>
                <w:sz w:val="18"/>
                <w:szCs w:val="18"/>
              </w:rPr>
              <w:t>5</w:t>
            </w:r>
          </w:p>
        </w:tc>
        <w:tc>
          <w:tcPr>
            <w:tcW w:w="1328" w:type="dxa"/>
            <w:vMerge w:val="restart"/>
            <w:vAlign w:val="center"/>
          </w:tcPr>
          <w:p>
            <w:pPr>
              <w:jc w:val="center"/>
              <w:rPr>
                <w:rFonts w:eastAsiaTheme="minorEastAsia"/>
                <w:sz w:val="18"/>
                <w:szCs w:val="18"/>
              </w:rPr>
            </w:pPr>
            <w:r>
              <w:rPr>
                <w:rFonts w:eastAsiaTheme="minorEastAsia"/>
                <w:sz w:val="18"/>
                <w:szCs w:val="18"/>
              </w:rPr>
              <w:t>汞及其化合物</w:t>
            </w:r>
          </w:p>
        </w:tc>
        <w:tc>
          <w:tcPr>
            <w:tcW w:w="5124" w:type="dxa"/>
            <w:vAlign w:val="center"/>
          </w:tcPr>
          <w:p>
            <w:pPr>
              <w:rPr>
                <w:rFonts w:eastAsiaTheme="minorEastAsia"/>
                <w:sz w:val="18"/>
                <w:szCs w:val="18"/>
              </w:rPr>
            </w:pPr>
            <w:r>
              <w:rPr>
                <w:rFonts w:eastAsiaTheme="minorEastAsia"/>
                <w:sz w:val="18"/>
                <w:szCs w:val="18"/>
              </w:rPr>
              <w:t>固定污染源废气 汞的测定 冷原子吸收分光光度法（暂行）</w:t>
            </w:r>
          </w:p>
        </w:tc>
        <w:tc>
          <w:tcPr>
            <w:tcW w:w="1436" w:type="dxa"/>
            <w:vAlign w:val="center"/>
          </w:tcPr>
          <w:p>
            <w:pPr>
              <w:jc w:val="center"/>
              <w:rPr>
                <w:rFonts w:eastAsiaTheme="minorEastAsia"/>
                <w:sz w:val="18"/>
                <w:szCs w:val="18"/>
              </w:rPr>
            </w:pPr>
            <w:r>
              <w:rPr>
                <w:rFonts w:eastAsiaTheme="minorEastAsia"/>
                <w:sz w:val="18"/>
                <w:szCs w:val="18"/>
              </w:rPr>
              <w:t>HJ 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Merge w:val="continue"/>
            <w:vAlign w:val="center"/>
          </w:tcPr>
          <w:p>
            <w:pPr>
              <w:jc w:val="center"/>
              <w:rPr>
                <w:rFonts w:eastAsiaTheme="minorEastAsia"/>
                <w:sz w:val="18"/>
                <w:szCs w:val="18"/>
              </w:rPr>
            </w:pPr>
          </w:p>
        </w:tc>
        <w:tc>
          <w:tcPr>
            <w:tcW w:w="1328" w:type="dxa"/>
            <w:vMerge w:val="continue"/>
            <w:vAlign w:val="center"/>
          </w:tcPr>
          <w:p>
            <w:pPr>
              <w:jc w:val="center"/>
              <w:rPr>
                <w:rFonts w:eastAsiaTheme="minorEastAsia"/>
                <w:sz w:val="18"/>
                <w:szCs w:val="18"/>
              </w:rPr>
            </w:pPr>
          </w:p>
        </w:tc>
        <w:tc>
          <w:tcPr>
            <w:tcW w:w="5124" w:type="dxa"/>
            <w:vAlign w:val="center"/>
          </w:tcPr>
          <w:p>
            <w:pPr>
              <w:rPr>
                <w:rFonts w:eastAsiaTheme="minorEastAsia"/>
                <w:sz w:val="18"/>
                <w:szCs w:val="18"/>
              </w:rPr>
            </w:pPr>
            <w:r>
              <w:rPr>
                <w:rFonts w:eastAsiaTheme="minorEastAsia"/>
                <w:color w:val="000000"/>
                <w:kern w:val="0"/>
                <w:sz w:val="18"/>
                <w:szCs w:val="18"/>
              </w:rPr>
              <w:t>固定污染源废气 气态汞的测定 活性炭吸附/热裂解原子吸收分光光度法</w:t>
            </w:r>
          </w:p>
        </w:tc>
        <w:tc>
          <w:tcPr>
            <w:tcW w:w="1436" w:type="dxa"/>
            <w:vAlign w:val="center"/>
          </w:tcPr>
          <w:p>
            <w:pPr>
              <w:jc w:val="center"/>
              <w:rPr>
                <w:rFonts w:eastAsiaTheme="minorEastAsia"/>
                <w:sz w:val="18"/>
                <w:szCs w:val="18"/>
              </w:rPr>
            </w:pPr>
            <w:r>
              <w:rPr>
                <w:rFonts w:eastAsiaTheme="minorEastAsia"/>
                <w:sz w:val="18"/>
                <w:szCs w:val="18"/>
              </w:rPr>
              <w:t>HJ 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13" w:type="dxa"/>
            <w:vAlign w:val="center"/>
          </w:tcPr>
          <w:p>
            <w:pPr>
              <w:jc w:val="center"/>
              <w:rPr>
                <w:rFonts w:eastAsiaTheme="minorEastAsia"/>
                <w:sz w:val="18"/>
                <w:szCs w:val="18"/>
              </w:rPr>
            </w:pPr>
            <w:r>
              <w:rPr>
                <w:rFonts w:eastAsiaTheme="minorEastAsia"/>
                <w:sz w:val="18"/>
                <w:szCs w:val="18"/>
              </w:rPr>
              <w:t>6</w:t>
            </w:r>
          </w:p>
        </w:tc>
        <w:tc>
          <w:tcPr>
            <w:tcW w:w="1328" w:type="dxa"/>
            <w:vAlign w:val="center"/>
          </w:tcPr>
          <w:p>
            <w:pPr>
              <w:jc w:val="center"/>
              <w:rPr>
                <w:rFonts w:eastAsiaTheme="minorEastAsia"/>
                <w:sz w:val="18"/>
                <w:szCs w:val="18"/>
              </w:rPr>
            </w:pPr>
            <w:r>
              <w:rPr>
                <w:rFonts w:eastAsiaTheme="minorEastAsia"/>
                <w:sz w:val="18"/>
                <w:szCs w:val="18"/>
              </w:rPr>
              <w:t>烟气黑度</w:t>
            </w:r>
          </w:p>
        </w:tc>
        <w:tc>
          <w:tcPr>
            <w:tcW w:w="5124" w:type="dxa"/>
            <w:vAlign w:val="center"/>
          </w:tcPr>
          <w:p>
            <w:pPr>
              <w:rPr>
                <w:rFonts w:eastAsiaTheme="minorEastAsia"/>
                <w:sz w:val="18"/>
                <w:szCs w:val="18"/>
              </w:rPr>
            </w:pPr>
            <w:r>
              <w:rPr>
                <w:rFonts w:eastAsiaTheme="minorEastAsia"/>
                <w:sz w:val="18"/>
                <w:szCs w:val="18"/>
              </w:rPr>
              <w:t>固定污染源排放烟气黑度的测定 林格曼烟气黑度图法</w:t>
            </w:r>
          </w:p>
        </w:tc>
        <w:tc>
          <w:tcPr>
            <w:tcW w:w="1436" w:type="dxa"/>
            <w:vAlign w:val="center"/>
          </w:tcPr>
          <w:p>
            <w:pPr>
              <w:jc w:val="center"/>
              <w:rPr>
                <w:rFonts w:eastAsiaTheme="minorEastAsia"/>
                <w:sz w:val="18"/>
                <w:szCs w:val="18"/>
              </w:rPr>
            </w:pPr>
            <w:r>
              <w:rPr>
                <w:rFonts w:eastAsiaTheme="minorEastAsia"/>
                <w:sz w:val="18"/>
                <w:szCs w:val="18"/>
              </w:rPr>
              <w:t>HJ/T 398</w:t>
            </w:r>
          </w:p>
        </w:tc>
      </w:tr>
      <w:bookmarkEnd w:id="124"/>
    </w:tbl>
    <w:p>
      <w:pPr>
        <w:pStyle w:val="21"/>
        <w:spacing w:before="156" w:beforeLines="50"/>
        <w:ind w:left="0"/>
        <w:rPr>
          <w:rFonts w:ascii="Times New Roman"/>
        </w:rPr>
      </w:pPr>
      <w:bookmarkStart w:id="125" w:name="_Hlk535412489"/>
      <w:r>
        <w:rPr>
          <w:rFonts w:ascii="Times New Roman"/>
        </w:rPr>
        <w:t>大气污染物基准氧含量排放浓度折算方法</w:t>
      </w:r>
    </w:p>
    <w:p>
      <w:pPr>
        <w:pStyle w:val="27"/>
        <w:spacing w:line="360" w:lineRule="auto"/>
        <w:rPr>
          <w:rFonts w:ascii="Times New Roman" w:eastAsiaTheme="minorEastAsia"/>
        </w:rPr>
      </w:pPr>
      <w:r>
        <w:rPr>
          <w:rFonts w:ascii="Times New Roman" w:eastAsiaTheme="minorEastAsia"/>
        </w:rPr>
        <w:t>实测的锅炉颗粒物、二氧化硫、氮氧化物、一氧化碳、汞及其化合物的排放浓度，应执行GB 5468或GB/T 16157规定，按公式（1）折算为基准氧含量排放浓度。各类燃烧设备的基准氧含量按表6的规定执行。</w:t>
      </w:r>
    </w:p>
    <w:bookmarkEnd w:id="125"/>
    <w:p>
      <w:pPr>
        <w:pStyle w:val="26"/>
        <w:numPr>
          <w:ilvl w:val="0"/>
          <w:numId w:val="0"/>
        </w:numPr>
        <w:spacing w:before="156" w:beforeLines="50"/>
        <w:rPr>
          <w:rFonts w:ascii="Times New Roman"/>
          <w:szCs w:val="21"/>
        </w:rPr>
      </w:pPr>
      <w:bookmarkStart w:id="126" w:name="_Hlk535412565"/>
      <w:r>
        <w:rPr>
          <w:rFonts w:ascii="Times New Roman"/>
          <w:szCs w:val="21"/>
        </w:rPr>
        <w:t>表6  基准氧含量</w:t>
      </w:r>
    </w:p>
    <w:tbl>
      <w:tblPr>
        <w:tblStyle w:val="10"/>
        <w:tblW w:w="855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289"/>
        <w:gridCol w:w="42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4" w:hRule="atLeast"/>
          <w:jc w:val="center"/>
        </w:trPr>
        <w:tc>
          <w:tcPr>
            <w:tcW w:w="4289" w:type="dxa"/>
            <w:vAlign w:val="center"/>
          </w:tcPr>
          <w:p>
            <w:pPr>
              <w:widowControl/>
              <w:snapToGrid w:val="0"/>
              <w:jc w:val="center"/>
              <w:rPr>
                <w:rFonts w:eastAsiaTheme="minorEastAsia"/>
                <w:kern w:val="0"/>
                <w:sz w:val="18"/>
                <w:szCs w:val="18"/>
              </w:rPr>
            </w:pPr>
            <w:r>
              <w:rPr>
                <w:rFonts w:eastAsiaTheme="minorEastAsia"/>
                <w:kern w:val="0"/>
                <w:sz w:val="18"/>
                <w:szCs w:val="18"/>
              </w:rPr>
              <w:t>锅炉类型</w:t>
            </w:r>
          </w:p>
        </w:tc>
        <w:tc>
          <w:tcPr>
            <w:tcW w:w="4261" w:type="dxa"/>
            <w:vAlign w:val="center"/>
          </w:tcPr>
          <w:p>
            <w:pPr>
              <w:widowControl/>
              <w:snapToGrid w:val="0"/>
              <w:jc w:val="center"/>
              <w:rPr>
                <w:rFonts w:eastAsiaTheme="minorEastAsia"/>
                <w:kern w:val="0"/>
                <w:sz w:val="18"/>
                <w:szCs w:val="18"/>
              </w:rPr>
            </w:pPr>
            <w:r>
              <w:rPr>
                <w:rFonts w:eastAsiaTheme="minorEastAsia"/>
                <w:kern w:val="0"/>
                <w:sz w:val="18"/>
                <w:szCs w:val="18"/>
              </w:rPr>
              <w:t>基准氧含量（O</w:t>
            </w:r>
            <w:r>
              <w:rPr>
                <w:rFonts w:eastAsiaTheme="minorEastAsia"/>
                <w:kern w:val="0"/>
                <w:sz w:val="18"/>
                <w:szCs w:val="18"/>
                <w:vertAlign w:val="subscript"/>
              </w:rPr>
              <w:t>2</w:t>
            </w:r>
            <w:r>
              <w:rPr>
                <w:rFonts w:eastAsiaTheme="minorEastAsia"/>
                <w:kern w:val="0"/>
                <w:sz w:val="18"/>
                <w:szCs w:val="18"/>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4" w:hRule="atLeast"/>
          <w:jc w:val="center"/>
        </w:trPr>
        <w:tc>
          <w:tcPr>
            <w:tcW w:w="4289" w:type="dxa"/>
            <w:vAlign w:val="center"/>
          </w:tcPr>
          <w:p>
            <w:pPr>
              <w:widowControl/>
              <w:snapToGrid w:val="0"/>
              <w:jc w:val="center"/>
              <w:rPr>
                <w:rFonts w:eastAsiaTheme="minorEastAsia"/>
                <w:kern w:val="0"/>
                <w:sz w:val="18"/>
                <w:szCs w:val="18"/>
              </w:rPr>
            </w:pPr>
            <w:r>
              <w:rPr>
                <w:rFonts w:eastAsiaTheme="minorEastAsia"/>
                <w:kern w:val="0"/>
                <w:sz w:val="18"/>
                <w:szCs w:val="18"/>
              </w:rPr>
              <w:t>燃煤、燃生物质成型燃料锅炉</w:t>
            </w:r>
          </w:p>
        </w:tc>
        <w:tc>
          <w:tcPr>
            <w:tcW w:w="4261" w:type="dxa"/>
            <w:vAlign w:val="center"/>
          </w:tcPr>
          <w:p>
            <w:pPr>
              <w:widowControl/>
              <w:snapToGrid w:val="0"/>
              <w:jc w:val="center"/>
              <w:rPr>
                <w:rFonts w:eastAsiaTheme="minorEastAsia"/>
                <w:kern w:val="0"/>
                <w:sz w:val="18"/>
                <w:szCs w:val="18"/>
              </w:rPr>
            </w:pPr>
            <w:r>
              <w:rPr>
                <w:rFonts w:eastAsiaTheme="minorEastAsia"/>
                <w:kern w:val="0"/>
                <w:sz w:val="18"/>
                <w:szCs w:val="18"/>
              </w:rPr>
              <w:t>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4" w:hRule="atLeast"/>
          <w:jc w:val="center"/>
        </w:trPr>
        <w:tc>
          <w:tcPr>
            <w:tcW w:w="4289" w:type="dxa"/>
            <w:vAlign w:val="center"/>
          </w:tcPr>
          <w:p>
            <w:pPr>
              <w:widowControl/>
              <w:snapToGrid w:val="0"/>
              <w:jc w:val="center"/>
              <w:rPr>
                <w:rFonts w:eastAsiaTheme="minorEastAsia"/>
                <w:kern w:val="0"/>
                <w:sz w:val="18"/>
                <w:szCs w:val="18"/>
              </w:rPr>
            </w:pPr>
            <w:r>
              <w:rPr>
                <w:rFonts w:eastAsiaTheme="minorEastAsia"/>
                <w:kern w:val="0"/>
                <w:sz w:val="18"/>
                <w:szCs w:val="18"/>
              </w:rPr>
              <w:t>燃油、燃气锅炉</w:t>
            </w:r>
          </w:p>
        </w:tc>
        <w:tc>
          <w:tcPr>
            <w:tcW w:w="4261" w:type="dxa"/>
            <w:vAlign w:val="center"/>
          </w:tcPr>
          <w:p>
            <w:pPr>
              <w:widowControl/>
              <w:snapToGrid w:val="0"/>
              <w:jc w:val="center"/>
              <w:rPr>
                <w:rFonts w:eastAsiaTheme="minorEastAsia"/>
                <w:kern w:val="0"/>
                <w:sz w:val="18"/>
                <w:szCs w:val="18"/>
              </w:rPr>
            </w:pPr>
            <w:r>
              <w:rPr>
                <w:rFonts w:eastAsiaTheme="minorEastAsia"/>
                <w:kern w:val="0"/>
                <w:sz w:val="18"/>
                <w:szCs w:val="18"/>
              </w:rPr>
              <w:t>3.5</w:t>
            </w:r>
          </w:p>
        </w:tc>
      </w:tr>
    </w:tbl>
    <w:p>
      <w:pPr>
        <w:pStyle w:val="27"/>
        <w:ind w:firstLine="400"/>
        <w:jc w:val="left"/>
        <w:rPr>
          <w:rFonts w:ascii="Times New Roman"/>
          <w:sz w:val="20"/>
        </w:rPr>
      </w:pPr>
    </w:p>
    <w:p>
      <w:pPr>
        <w:pStyle w:val="27"/>
        <w:ind w:firstLine="480"/>
        <w:jc w:val="right"/>
        <w:rPr>
          <w:rFonts w:ascii="Times New Roman"/>
          <w:kern w:val="2"/>
          <w:szCs w:val="21"/>
        </w:rPr>
      </w:pPr>
      <m:oMath>
        <m:r>
          <w:rPr>
            <w:rFonts w:ascii="Cambria Math" w:hAnsi="Cambria Math" w:eastAsiaTheme="minorEastAsia"/>
            <w:sz w:val="24"/>
            <w:szCs w:val="24"/>
          </w:rPr>
          <m:t>ρ=ρ’×</m:t>
        </m:r>
        <m:f>
          <m:fPr>
            <m:ctrlPr>
              <w:rPr>
                <w:rFonts w:ascii="Cambria Math" w:hAnsi="Cambria Math" w:eastAsiaTheme="minorEastAsia"/>
                <w:sz w:val="24"/>
                <w:szCs w:val="24"/>
              </w:rPr>
            </m:ctrlPr>
          </m:fPr>
          <m:num>
            <m:r>
              <m:rPr>
                <m:nor/>
                <m:sty m:val="p"/>
              </m:rPr>
              <w:rPr>
                <w:rFonts w:ascii="Times New Roman" w:eastAsiaTheme="minorEastAsia"/>
                <w:sz w:val="24"/>
                <w:szCs w:val="24"/>
              </w:rPr>
              <m:t>21</m:t>
            </m:r>
            <m:r>
              <w:rPr>
                <w:rFonts w:ascii="Cambria Math" w:hAnsi="Cambria Math" w:eastAsiaTheme="minorEastAsia"/>
                <w:sz w:val="24"/>
                <w:szCs w:val="24"/>
              </w:rPr>
              <m:t>-φ</m:t>
            </m:r>
            <m:d>
              <m:dPr>
                <m:ctrlPr>
                  <w:rPr>
                    <w:rFonts w:ascii="Cambria Math" w:hAnsi="Cambria Math" w:eastAsiaTheme="minorEastAsia"/>
                    <w:sz w:val="24"/>
                    <w:szCs w:val="24"/>
                  </w:rPr>
                </m:ctrlPr>
              </m:dPr>
              <m:e>
                <m:sSub>
                  <w:bookmarkStart w:id="127" w:name="_Hlk500229135"/>
                  <m:sSubPr>
                    <m:ctrlPr>
                      <w:rPr>
                        <w:rFonts w:ascii="Cambria Math" w:hAnsi="Cambria Math" w:eastAsiaTheme="minorEastAsia"/>
                        <w:sz w:val="24"/>
                        <w:szCs w:val="24"/>
                      </w:rPr>
                    </m:ctrlPr>
                  </m:sSubPr>
                  <m:e>
                    <m:r>
                      <m:rPr>
                        <m:nor/>
                        <m:sty m:val="p"/>
                      </m:rPr>
                      <w:rPr>
                        <w:rFonts w:ascii="Times New Roman" w:eastAsiaTheme="minorEastAsia"/>
                        <w:sz w:val="24"/>
                        <w:szCs w:val="24"/>
                      </w:rPr>
                      <m:t>O</m:t>
                    </m:r>
                    <m:ctrlPr>
                      <w:rPr>
                        <w:rFonts w:ascii="Cambria Math" w:hAnsi="Cambria Math" w:eastAsiaTheme="minorEastAsia"/>
                        <w:sz w:val="24"/>
                        <w:szCs w:val="24"/>
                      </w:rPr>
                    </m:ctrlPr>
                  </m:e>
                  <m:sub>
                    <m:r>
                      <m:rPr>
                        <m:nor/>
                        <m:sty m:val="p"/>
                      </m:rPr>
                      <w:rPr>
                        <w:rFonts w:ascii="Times New Roman" w:eastAsiaTheme="minorEastAsia"/>
                        <w:sz w:val="24"/>
                        <w:szCs w:val="24"/>
                      </w:rPr>
                      <m:t>2</m:t>
                    </m:r>
                    <m:ctrlPr>
                      <w:rPr>
                        <w:rFonts w:ascii="Cambria Math" w:hAnsi="Cambria Math" w:eastAsiaTheme="minorEastAsia"/>
                        <w:sz w:val="24"/>
                        <w:szCs w:val="24"/>
                      </w:rPr>
                    </m:ctrlPr>
                  </m:sub>
                </m:sSub>
                <w:bookmarkEnd w:id="127"/>
                <m:ctrlPr>
                  <w:rPr>
                    <w:rFonts w:ascii="Cambria Math" w:hAnsi="Cambria Math" w:eastAsiaTheme="minorEastAsia"/>
                    <w:sz w:val="24"/>
                    <w:szCs w:val="24"/>
                  </w:rPr>
                </m:ctrlPr>
              </m:e>
            </m:d>
            <m:ctrlPr>
              <w:rPr>
                <w:rFonts w:ascii="Cambria Math" w:hAnsi="Cambria Math" w:eastAsiaTheme="minorEastAsia"/>
                <w:sz w:val="24"/>
                <w:szCs w:val="24"/>
              </w:rPr>
            </m:ctrlPr>
          </m:num>
          <m:den>
            <m:r>
              <m:rPr>
                <m:nor/>
                <m:sty m:val="p"/>
              </m:rPr>
              <w:rPr>
                <w:rFonts w:ascii="Times New Roman" w:eastAsiaTheme="minorEastAsia"/>
                <w:sz w:val="24"/>
                <w:szCs w:val="24"/>
              </w:rPr>
              <m:t>21</m:t>
            </m:r>
            <m:r>
              <w:rPr>
                <w:rFonts w:ascii="Cambria Math" w:hAnsi="Cambria Math" w:eastAsiaTheme="minorEastAsia"/>
                <w:sz w:val="24"/>
                <w:szCs w:val="24"/>
              </w:rPr>
              <m:t>-φ’</m:t>
            </m:r>
            <m:d>
              <m:dPr>
                <m:ctrlPr>
                  <w:rPr>
                    <w:rFonts w:ascii="Cambria Math" w:hAnsi="Cambria Math" w:eastAsiaTheme="minorEastAsia"/>
                    <w:sz w:val="24"/>
                    <w:szCs w:val="24"/>
                  </w:rPr>
                </m:ctrlPr>
              </m:dPr>
              <m:e>
                <m:sSub>
                  <m:sSubPr>
                    <m:ctrlPr>
                      <w:rPr>
                        <w:rFonts w:ascii="Cambria Math" w:hAnsi="Cambria Math" w:eastAsiaTheme="minorEastAsia"/>
                        <w:sz w:val="24"/>
                        <w:szCs w:val="24"/>
                      </w:rPr>
                    </m:ctrlPr>
                  </m:sSubPr>
                  <m:e>
                    <m:r>
                      <m:rPr>
                        <m:nor/>
                        <m:sty m:val="p"/>
                      </m:rPr>
                      <w:rPr>
                        <w:rFonts w:ascii="Times New Roman" w:eastAsiaTheme="minorEastAsia"/>
                        <w:sz w:val="24"/>
                        <w:szCs w:val="24"/>
                      </w:rPr>
                      <m:t>O</m:t>
                    </m:r>
                    <m:ctrlPr>
                      <w:rPr>
                        <w:rFonts w:ascii="Cambria Math" w:hAnsi="Cambria Math" w:eastAsiaTheme="minorEastAsia"/>
                        <w:sz w:val="24"/>
                        <w:szCs w:val="24"/>
                      </w:rPr>
                    </m:ctrlPr>
                  </m:e>
                  <m:sub>
                    <m:r>
                      <m:rPr>
                        <m:nor/>
                        <m:sty m:val="p"/>
                      </m:rPr>
                      <w:rPr>
                        <w:rFonts w:ascii="Times New Roman" w:eastAsiaTheme="minorEastAsia"/>
                        <w:sz w:val="24"/>
                        <w:szCs w:val="24"/>
                      </w:rPr>
                      <m:t>2</m:t>
                    </m:r>
                    <m:ctrlPr>
                      <w:rPr>
                        <w:rFonts w:ascii="Cambria Math" w:hAnsi="Cambria Math" w:eastAsiaTheme="minorEastAsia"/>
                        <w:sz w:val="24"/>
                        <w:szCs w:val="24"/>
                      </w:rPr>
                    </m:ctrlPr>
                  </m:sub>
                </m:sSub>
                <m:ctrlPr>
                  <w:rPr>
                    <w:rFonts w:ascii="Cambria Math" w:hAnsi="Cambria Math" w:eastAsiaTheme="minorEastAsia"/>
                    <w:sz w:val="24"/>
                    <w:szCs w:val="24"/>
                  </w:rPr>
                </m:ctrlPr>
              </m:e>
            </m:d>
            <m:ctrlPr>
              <w:rPr>
                <w:rFonts w:ascii="Cambria Math" w:hAnsi="Cambria Math" w:eastAsiaTheme="minorEastAsia"/>
                <w:sz w:val="24"/>
                <w:szCs w:val="24"/>
              </w:rPr>
            </m:ctrlPr>
          </m:den>
        </m:f>
      </m:oMath>
      <w:r>
        <w:rPr>
          <w:rFonts w:ascii="Times New Roman"/>
          <w:sz w:val="28"/>
        </w:rPr>
        <w:t xml:space="preserve"> </w:t>
      </w:r>
      <w:r>
        <w:rPr>
          <w:rFonts w:ascii="Times New Roman"/>
        </w:rPr>
        <w:t xml:space="preserve">                           </w:t>
      </w:r>
      <w:r>
        <w:rPr>
          <w:rFonts w:ascii="Times New Roman"/>
          <w:sz w:val="15"/>
        </w:rPr>
        <w:t xml:space="preserve">  </w:t>
      </w:r>
      <w:r>
        <w:rPr>
          <w:rFonts w:ascii="Times New Roman" w:eastAsiaTheme="minorEastAsia"/>
          <w:sz w:val="15"/>
          <w:szCs w:val="21"/>
        </w:rPr>
        <w:t>(1)</w:t>
      </w:r>
    </w:p>
    <w:p>
      <w:pPr>
        <w:pStyle w:val="27"/>
        <w:ind w:firstLine="0" w:firstLineChars="0"/>
        <w:rPr>
          <w:rFonts w:ascii="Times New Roman"/>
        </w:rPr>
      </w:pPr>
      <w:r>
        <w:rPr>
          <w:rFonts w:ascii="Times New Roman"/>
        </w:rPr>
        <w:t>式中：</w:t>
      </w:r>
    </w:p>
    <w:p>
      <w:pPr>
        <w:pStyle w:val="27"/>
        <w:rPr>
          <w:rFonts w:ascii="Times New Roman" w:eastAsiaTheme="minorEastAsia"/>
        </w:rPr>
      </w:pPr>
      <w:bookmarkStart w:id="128" w:name="_Hlk535415121"/>
      <m:oMath>
        <m:r>
          <m:rPr>
            <m:nor/>
          </m:rPr>
          <w:rPr>
            <w:rFonts w:ascii="Times New Roman"/>
            <w:i/>
          </w:rPr>
          <m:t>ρ</m:t>
        </m:r>
        <w:bookmarkEnd w:id="128"/>
      </m:oMath>
      <w:r>
        <w:rPr>
          <w:rFonts w:ascii="Times New Roman"/>
        </w:rPr>
        <w:t>——</w:t>
      </w:r>
      <w:bookmarkStart w:id="129" w:name="_Hlk535415133"/>
      <w:r>
        <w:rPr>
          <w:rFonts w:ascii="Times New Roman"/>
        </w:rPr>
        <w:t>大气污染物基准氧含量排放浓</w:t>
      </w:r>
      <w:r>
        <w:rPr>
          <w:rFonts w:ascii="Times New Roman" w:eastAsiaTheme="minorEastAsia"/>
        </w:rPr>
        <w:t>度，mg/m</w:t>
      </w:r>
      <w:r>
        <w:rPr>
          <w:rFonts w:ascii="Times New Roman" w:eastAsiaTheme="minorEastAsia"/>
          <w:vertAlign w:val="superscript"/>
        </w:rPr>
        <w:t>3</w:t>
      </w:r>
      <w:bookmarkEnd w:id="129"/>
      <w:r>
        <w:rPr>
          <w:rFonts w:ascii="Times New Roman" w:eastAsiaTheme="minorEastAsia"/>
        </w:rPr>
        <w:t>；</w:t>
      </w:r>
    </w:p>
    <w:p>
      <w:pPr>
        <w:pStyle w:val="27"/>
        <w:ind w:firstLine="399" w:firstLineChars="190"/>
        <w:rPr>
          <w:rFonts w:ascii="Times New Roman" w:eastAsiaTheme="minorEastAsia"/>
        </w:rPr>
      </w:pPr>
      <m:oMath>
        <m:r>
          <w:rPr>
            <w:rFonts w:ascii="Cambria Math" w:hAnsi="Cambria Math" w:eastAsiaTheme="minorEastAsia"/>
          </w:rPr>
          <m:t>ρ</m:t>
        </m:r>
        <m:r>
          <m:rPr>
            <m:sty m:val="p"/>
          </m:rPr>
          <w:rPr>
            <w:rFonts w:ascii="Cambria Math" w:hAnsi="Cambria Math" w:eastAsiaTheme="minorEastAsia"/>
          </w:rPr>
          <m:t>’</m:t>
        </m:r>
      </m:oMath>
      <w:r>
        <w:rPr>
          <w:rFonts w:ascii="Times New Roman" w:eastAsiaTheme="minorEastAsia"/>
        </w:rPr>
        <w:t>——实测的</w:t>
      </w:r>
      <w:bookmarkStart w:id="130" w:name="_Hlk535415172"/>
      <w:r>
        <w:rPr>
          <w:rFonts w:ascii="Times New Roman" w:eastAsiaTheme="minorEastAsia"/>
        </w:rPr>
        <w:t>大气污染物排放浓度，mg/m</w:t>
      </w:r>
      <w:r>
        <w:rPr>
          <w:rFonts w:ascii="Times New Roman" w:eastAsiaTheme="minorEastAsia"/>
          <w:vertAlign w:val="superscript"/>
        </w:rPr>
        <w:t>3</w:t>
      </w:r>
      <w:bookmarkEnd w:id="130"/>
      <w:r>
        <w:rPr>
          <w:rFonts w:ascii="Times New Roman" w:eastAsiaTheme="minorEastAsia"/>
        </w:rPr>
        <w:t>；</w:t>
      </w:r>
    </w:p>
    <w:p>
      <w:pPr>
        <w:pStyle w:val="27"/>
        <w:ind w:firstLine="405" w:firstLineChars="193"/>
        <w:rPr>
          <w:rFonts w:ascii="Times New Roman"/>
        </w:rPr>
      </w:pPr>
      <w:bookmarkStart w:id="131" w:name="_Hlk535415182"/>
      <m:oMath>
        <m:r>
          <w:rPr>
            <w:rFonts w:ascii="Cambria Math" w:hAnsi="Cambria Math" w:eastAsiaTheme="minorEastAsia"/>
            <w:szCs w:val="21"/>
          </w:rPr>
          <m:t>φ</m:t>
        </m:r>
        <m:r>
          <m:rPr>
            <m:sty m:val="p"/>
          </m:rPr>
          <w:rPr>
            <w:rFonts w:ascii="Cambria Math" w:hAnsi="Cambria Math" w:eastAsiaTheme="minorEastAsia"/>
            <w:szCs w:val="21"/>
          </w:rPr>
          <m:t>’</m:t>
        </m:r>
        <m:d>
          <m:dPr>
            <m:ctrlPr>
              <w:rPr>
                <w:rFonts w:ascii="Cambria Math" w:hAnsi="Cambria Math" w:eastAsiaTheme="minorEastAsia"/>
                <w:szCs w:val="21"/>
              </w:rPr>
            </m:ctrlPr>
          </m:dPr>
          <m:e>
            <m:sSub>
              <m:sSubPr>
                <m:ctrlPr>
                  <w:rPr>
                    <w:rFonts w:ascii="Cambria Math" w:hAnsi="Cambria Math" w:eastAsiaTheme="minorEastAsia"/>
                    <w:szCs w:val="21"/>
                  </w:rPr>
                </m:ctrlPr>
              </m:sSubPr>
              <m:e>
                <m:r>
                  <m:rPr>
                    <m:nor/>
                    <m:sty m:val="p"/>
                  </m:rPr>
                  <w:rPr>
                    <w:rFonts w:ascii="Times New Roman" w:eastAsiaTheme="minorEastAsia"/>
                    <w:szCs w:val="21"/>
                  </w:rPr>
                  <m:t>O</m:t>
                </m:r>
                <m:ctrlPr>
                  <w:rPr>
                    <w:rFonts w:ascii="Cambria Math" w:hAnsi="Cambria Math" w:eastAsiaTheme="minorEastAsia"/>
                    <w:szCs w:val="21"/>
                  </w:rPr>
                </m:ctrlPr>
              </m:e>
              <m:sub>
                <m:r>
                  <m:rPr>
                    <m:nor/>
                    <m:sty m:val="p"/>
                  </m:rPr>
                  <w:rPr>
                    <w:rFonts w:ascii="Times New Roman" w:eastAsiaTheme="minorEastAsia"/>
                    <w:szCs w:val="21"/>
                  </w:rPr>
                  <m:t>2</m:t>
                </m:r>
                <m:ctrlPr>
                  <w:rPr>
                    <w:rFonts w:ascii="Cambria Math" w:hAnsi="Cambria Math" w:eastAsiaTheme="minorEastAsia"/>
                    <w:szCs w:val="21"/>
                  </w:rPr>
                </m:ctrlPr>
              </m:sub>
            </m:sSub>
            <m:ctrlPr>
              <w:rPr>
                <w:rFonts w:ascii="Cambria Math" w:hAnsi="Cambria Math" w:eastAsiaTheme="minorEastAsia"/>
                <w:szCs w:val="21"/>
              </w:rPr>
            </m:ctrlPr>
            <w:bookmarkEnd w:id="131"/>
          </m:e>
        </m:d>
      </m:oMath>
      <w:r>
        <w:rPr>
          <w:rFonts w:ascii="Times New Roman"/>
        </w:rPr>
        <w:t>——实测的氧含量；</w:t>
      </w:r>
    </w:p>
    <w:p>
      <w:pPr>
        <w:pStyle w:val="27"/>
        <w:ind w:firstLine="405" w:firstLineChars="193"/>
        <w:rPr>
          <w:rFonts w:ascii="Times New Roman"/>
        </w:rPr>
      </w:pPr>
      <w:bookmarkStart w:id="132" w:name="_Hlk535415213"/>
      <m:oMath>
        <m:r>
          <w:rPr>
            <w:rFonts w:ascii="Cambria Math" w:hAnsi="Cambria Math" w:eastAsiaTheme="minorEastAsia"/>
            <w:szCs w:val="21"/>
          </w:rPr>
          <m:t>φ</m:t>
        </m:r>
        <m:d>
          <m:dPr>
            <m:ctrlPr>
              <w:rPr>
                <w:rFonts w:ascii="Cambria Math" w:hAnsi="Cambria Math" w:eastAsiaTheme="minorEastAsia"/>
                <w:szCs w:val="21"/>
              </w:rPr>
            </m:ctrlPr>
          </m:dPr>
          <m:e>
            <m:sSub>
              <m:sSubPr>
                <m:ctrlPr>
                  <w:rPr>
                    <w:rFonts w:ascii="Cambria Math" w:hAnsi="Cambria Math" w:eastAsiaTheme="minorEastAsia"/>
                    <w:szCs w:val="21"/>
                  </w:rPr>
                </m:ctrlPr>
              </m:sSubPr>
              <m:e>
                <m:r>
                  <m:rPr>
                    <m:nor/>
                    <m:sty m:val="p"/>
                  </m:rPr>
                  <w:rPr>
                    <w:rFonts w:ascii="Times New Roman" w:eastAsiaTheme="minorEastAsia"/>
                    <w:szCs w:val="21"/>
                  </w:rPr>
                  <m:t>O</m:t>
                </m:r>
                <m:ctrlPr>
                  <w:rPr>
                    <w:rFonts w:ascii="Cambria Math" w:hAnsi="Cambria Math" w:eastAsiaTheme="minorEastAsia"/>
                    <w:szCs w:val="21"/>
                  </w:rPr>
                </m:ctrlPr>
              </m:e>
              <m:sub>
                <m:r>
                  <m:rPr>
                    <m:nor/>
                    <m:sty m:val="p"/>
                  </m:rPr>
                  <w:rPr>
                    <w:rFonts w:ascii="Times New Roman" w:eastAsiaTheme="minorEastAsia"/>
                    <w:szCs w:val="21"/>
                  </w:rPr>
                  <m:t>2</m:t>
                </m:r>
                <m:ctrlPr>
                  <w:rPr>
                    <w:rFonts w:ascii="Cambria Math" w:hAnsi="Cambria Math" w:eastAsiaTheme="minorEastAsia"/>
                    <w:szCs w:val="21"/>
                  </w:rPr>
                </m:ctrlPr>
              </m:sub>
            </m:sSub>
            <m:ctrlPr>
              <w:rPr>
                <w:rFonts w:ascii="Cambria Math" w:hAnsi="Cambria Math" w:eastAsiaTheme="minorEastAsia"/>
                <w:szCs w:val="21"/>
              </w:rPr>
            </m:ctrlPr>
          </m:e>
        </m:d>
      </m:oMath>
      <w:bookmarkEnd w:id="132"/>
      <w:r>
        <w:rPr>
          <w:rFonts w:ascii="Times New Roman"/>
        </w:rPr>
        <w:t>——基准氧含量。</w:t>
      </w:r>
    </w:p>
    <w:bookmarkEnd w:id="126"/>
    <w:p>
      <w:pPr>
        <w:pStyle w:val="20"/>
        <w:rPr>
          <w:rFonts w:ascii="Times New Roman"/>
        </w:rPr>
      </w:pPr>
      <w:bookmarkStart w:id="133" w:name="_Toc261978579"/>
      <w:bookmarkStart w:id="134" w:name="_Toc261979023"/>
      <w:bookmarkStart w:id="135" w:name="_Toc261979086"/>
      <w:bookmarkStart w:id="136" w:name="_Toc261979149"/>
      <w:bookmarkStart w:id="137" w:name="_Toc261979221"/>
      <w:bookmarkStart w:id="138" w:name="_Toc270062783"/>
      <w:bookmarkStart w:id="139" w:name="_Toc14694"/>
      <w:bookmarkStart w:id="140" w:name="_Toc416940265"/>
      <w:bookmarkStart w:id="141" w:name="_Toc427767468"/>
      <w:bookmarkStart w:id="142" w:name="_Toc513038586"/>
      <w:r>
        <w:rPr>
          <w:rFonts w:ascii="Times New Roman"/>
        </w:rPr>
        <w:t>实施</w:t>
      </w:r>
      <w:bookmarkEnd w:id="133"/>
      <w:bookmarkEnd w:id="134"/>
      <w:bookmarkEnd w:id="135"/>
      <w:bookmarkEnd w:id="136"/>
      <w:bookmarkEnd w:id="137"/>
      <w:bookmarkEnd w:id="138"/>
      <w:bookmarkEnd w:id="139"/>
      <w:bookmarkEnd w:id="140"/>
      <w:r>
        <w:rPr>
          <w:rFonts w:ascii="Times New Roman"/>
        </w:rPr>
        <w:t>与监督</w:t>
      </w:r>
      <w:bookmarkEnd w:id="141"/>
      <w:bookmarkEnd w:id="142"/>
      <w:bookmarkStart w:id="143" w:name="_Toc261979222"/>
      <w:bookmarkStart w:id="144" w:name="_Toc261978580"/>
      <w:bookmarkStart w:id="145" w:name="_Toc261979024"/>
      <w:bookmarkStart w:id="146" w:name="_Toc15845"/>
      <w:bookmarkStart w:id="147" w:name="_Toc8528"/>
      <w:bookmarkStart w:id="148" w:name="_Toc373333163"/>
    </w:p>
    <w:p>
      <w:pPr>
        <w:pStyle w:val="21"/>
        <w:spacing w:line="360" w:lineRule="auto"/>
        <w:ind w:left="0"/>
        <w:rPr>
          <w:rFonts w:ascii="Times New Roman" w:eastAsia="宋体"/>
        </w:rPr>
      </w:pPr>
      <w:r>
        <w:rPr>
          <w:rFonts w:ascii="Times New Roman" w:eastAsia="宋体"/>
        </w:rPr>
        <w:t>本标准由县级以上</w:t>
      </w:r>
      <w:r>
        <w:rPr>
          <w:rFonts w:hint="eastAsia" w:ascii="Times New Roman" w:eastAsia="宋体"/>
        </w:rPr>
        <w:t>生态</w:t>
      </w:r>
      <w:r>
        <w:rPr>
          <w:rFonts w:ascii="Times New Roman" w:eastAsia="宋体"/>
        </w:rPr>
        <w:t>环境部门负责监督实施。</w:t>
      </w:r>
      <w:bookmarkEnd w:id="143"/>
      <w:bookmarkEnd w:id="144"/>
      <w:bookmarkEnd w:id="145"/>
      <w:bookmarkEnd w:id="146"/>
      <w:bookmarkEnd w:id="147"/>
      <w:bookmarkEnd w:id="148"/>
    </w:p>
    <w:p>
      <w:pPr>
        <w:pStyle w:val="21"/>
        <w:spacing w:line="360" w:lineRule="auto"/>
        <w:ind w:left="0"/>
        <w:rPr>
          <w:rFonts w:ascii="Times New Roman" w:eastAsia="宋体"/>
        </w:rPr>
      </w:pPr>
      <w:r>
        <w:rPr>
          <w:rFonts w:ascii="Times New Roman" w:eastAsia="宋体"/>
        </w:rPr>
        <w:t>锅炉</w:t>
      </w:r>
      <w:bookmarkStart w:id="149" w:name="_Hlk535413898"/>
      <w:r>
        <w:rPr>
          <w:rFonts w:ascii="Times New Roman" w:eastAsia="宋体"/>
        </w:rPr>
        <w:t>使用单位应遵守本标准的大气污染物排放控制要求，采取必要措施保证污染防治设施正常运行。各级</w:t>
      </w:r>
      <w:r>
        <w:rPr>
          <w:rFonts w:hint="eastAsia" w:ascii="Times New Roman" w:eastAsia="宋体"/>
        </w:rPr>
        <w:t>生态环境</w:t>
      </w:r>
      <w:r>
        <w:rPr>
          <w:rFonts w:ascii="Times New Roman" w:eastAsia="宋体"/>
        </w:rPr>
        <w:t>部门在对锅炉使用单位进行监督性检查时，可以现场即时采样或监测的结果</w:t>
      </w:r>
      <w:r>
        <w:rPr>
          <w:rFonts w:hint="eastAsia" w:ascii="Times New Roman" w:eastAsia="宋体"/>
        </w:rPr>
        <w:t>，</w:t>
      </w:r>
      <w:r>
        <w:rPr>
          <w:rFonts w:ascii="Times New Roman" w:eastAsia="宋体"/>
        </w:rPr>
        <w:t>作为判断排污行为是否符合排放标准以及实施相关环境保护管理措施的依据。</w:t>
      </w:r>
      <w:bookmarkEnd w:id="149"/>
    </w:p>
    <w:p>
      <w:pPr>
        <w:pStyle w:val="27"/>
        <w:ind w:firstLine="0" w:firstLineChars="0"/>
        <w:rPr>
          <w:rFonts w:ascii="Times New Roman"/>
        </w:rPr>
      </w:pPr>
    </w:p>
    <w:p>
      <w:pPr>
        <w:pStyle w:val="27"/>
        <w:ind w:firstLine="0" w:firstLineChars="0"/>
        <w:jc w:val="center"/>
        <w:rPr>
          <w:rFonts w:ascii="Times New Roman"/>
        </w:rPr>
      </w:pPr>
      <w:r>
        <w:rPr>
          <w:rFonts w:ascii="Times New Roman"/>
        </w:rPr>
        <mc:AlternateContent>
          <mc:Choice Requires="wps">
            <w:drawing>
              <wp:anchor distT="0" distB="0" distL="114300" distR="114300" simplePos="0" relativeHeight="251671552" behindDoc="0" locked="0" layoutInCell="1" allowOverlap="1">
                <wp:simplePos x="0" y="0"/>
                <wp:positionH relativeFrom="column">
                  <wp:posOffset>1846580</wp:posOffset>
                </wp:positionH>
                <wp:positionV relativeFrom="paragraph">
                  <wp:posOffset>187960</wp:posOffset>
                </wp:positionV>
                <wp:extent cx="2011680" cy="0"/>
                <wp:effectExtent l="0" t="0" r="26670" b="1905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2011680" cy="0"/>
                        </a:xfrm>
                        <a:prstGeom prst="line">
                          <a:avLst/>
                        </a:prstGeom>
                        <a:noFill/>
                        <a:ln w="12700">
                          <a:solidFill>
                            <a:srgbClr val="080000"/>
                          </a:solidFill>
                          <a:round/>
                        </a:ln>
                      </wps:spPr>
                      <wps:bodyPr/>
                    </wps:wsp>
                  </a:graphicData>
                </a:graphic>
              </wp:anchor>
            </w:drawing>
          </mc:Choice>
          <mc:Fallback>
            <w:pict>
              <v:line id="_x0000_s1026" o:spid="_x0000_s1026" o:spt="20" style="position:absolute;left:0pt;margin-left:145.4pt;margin-top:14.8pt;height:0pt;width:158.4pt;z-index:251671552;mso-width-relative:page;mso-height-relative:page;" filled="f" stroked="t" coordsize="21600,21600" o:gfxdata="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egJJv1gAAAAkBAAAPAAAAAAAAAAEAIAAAACIAAABkcnMvZG93&#10;bnJldi54bWxQSwECFAAUAAAACACHTuJAZpyHTMkBAABfAwAADgAAAAAAAAABACAAAAAlAQAAZHJz&#10;L2Uyb0RvYy54bWxQSwUGAAAAAAYABgBZAQAAYAUAAAAA&#10;">
                <v:fill on="f" focussize="0,0"/>
                <v:stroke weight="1pt" color="#080000" joinstyle="round"/>
                <v:imagedata o:title=""/>
                <o:lock v:ext="edit" aspectratio="f"/>
              </v:line>
            </w:pict>
          </mc:Fallback>
        </mc:AlternateContent>
      </w:r>
    </w:p>
    <w:sectPr>
      <w:headerReference r:id="rId16" w:type="default"/>
      <w:footerReference r:id="rId17" w:type="default"/>
      <w:footerReference r:id="rId18" w:type="even"/>
      <w:pgSz w:w="11906" w:h="16838"/>
      <w:pgMar w:top="1440" w:right="1758" w:bottom="1440" w:left="1814" w:header="851"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华文楷体">
    <w:altName w:val="宋体"/>
    <w:panose1 w:val="02010600040101010101"/>
    <w:charset w:val="86"/>
    <w:family w:val="auto"/>
    <w:pitch w:val="default"/>
    <w:sig w:usb0="00000000" w:usb1="00000000" w:usb2="00000010" w:usb3="00000000" w:csb0="000400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Style w:val="13"/>
      </w:rPr>
    </w:pPr>
    <w:r>
      <w:rPr>
        <w:rStyle w:val="13"/>
      </w:rPr>
      <w:fldChar w:fldCharType="begin"/>
    </w:r>
    <w:r>
      <w:rPr>
        <w:rStyle w:val="13"/>
      </w:rPr>
      <w:instrText xml:space="preserve">PAGE  </w:instrText>
    </w:r>
    <w:r>
      <w:rPr>
        <w:rStyle w:val="13"/>
      </w:rPr>
      <w:fldChar w:fldCharType="separate"/>
    </w:r>
    <w:r>
      <w:rPr>
        <w:rStyle w:val="13"/>
      </w:rPr>
      <w:t>I</w:t>
    </w:r>
    <w:r>
      <w:rPr>
        <w:rStyle w:val="13"/>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rStyle w:val="13"/>
      </w:rPr>
    </w:pPr>
    <w:r>
      <w:rPr>
        <w:rStyle w:val="13"/>
      </w:rPr>
      <w:fldChar w:fldCharType="begin"/>
    </w:r>
    <w:r>
      <w:rPr>
        <w:rStyle w:val="13"/>
      </w:rPr>
      <w:instrText xml:space="preserve">PAGE  </w:instrText>
    </w:r>
    <w:r>
      <w:rPr>
        <w:rStyle w:val="13"/>
      </w:rPr>
      <w:fldChar w:fldCharType="separate"/>
    </w:r>
    <w:r>
      <w:rPr>
        <w:rStyle w:val="13"/>
      </w:rPr>
      <w:t>II</w:t>
    </w:r>
    <w:r>
      <w:rPr>
        <w:rStyle w:val="13"/>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right="360" w:firstLine="360"/>
      <w:rPr>
        <w:rStyle w:val="13"/>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3"/>
      </w:rPr>
    </w:pPr>
    <w:r>
      <w:rPr>
        <w:rStyle w:val="13"/>
      </w:rPr>
      <w:fldChar w:fldCharType="begin"/>
    </w:r>
    <w:r>
      <w:rPr>
        <w:rStyle w:val="13"/>
      </w:rPr>
      <w:instrText xml:space="preserve">PAGE  </w:instrText>
    </w:r>
    <w:r>
      <w:rPr>
        <w:rStyle w:val="13"/>
      </w:rPr>
      <w:fldChar w:fldCharType="separate"/>
    </w:r>
    <w:r>
      <w:rPr>
        <w:rStyle w:val="13"/>
      </w:rPr>
      <w:t>ii</w:t>
    </w:r>
    <w:r>
      <w:rPr>
        <w:rStyle w:val="13"/>
      </w:rPr>
      <w:fldChar w:fldCharType="end"/>
    </w:r>
  </w:p>
  <w:p>
    <w:pPr>
      <w:pStyle w:val="35"/>
      <w:ind w:right="360" w:firstLine="9180" w:firstLineChars="5100"/>
      <w:rPr>
        <w:rStyle w:val="13"/>
      </w:rPr>
    </w:pP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4094333"/>
      <w:docPartObj>
        <w:docPartGallery w:val="AutoText"/>
      </w:docPartObj>
    </w:sdtPr>
    <w:sdtContent>
      <w:p>
        <w:pPr>
          <w:pStyle w:val="7"/>
          <w:jc w:val="right"/>
        </w:pPr>
        <w:r>
          <w:fldChar w:fldCharType="begin"/>
        </w:r>
        <w:r>
          <w:instrText xml:space="preserve">PAGE   \* MERGEFORMAT</w:instrText>
        </w:r>
        <w:r>
          <w:fldChar w:fldCharType="separate"/>
        </w:r>
        <w:r>
          <w:rPr>
            <w:lang w:val="zh-CN"/>
          </w:rPr>
          <w:t>i</w:t>
        </w:r>
        <w: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64406210"/>
      <w:docPartObj>
        <w:docPartGallery w:val="AutoText"/>
      </w:docPartObj>
    </w:sdtPr>
    <w:sdtContent>
      <w:p>
        <w:pPr>
          <w:pStyle w:val="7"/>
          <w:jc w:val="right"/>
        </w:pPr>
        <w:r>
          <w:fldChar w:fldCharType="begin"/>
        </w:r>
        <w:r>
          <w:instrText xml:space="preserve">PAGE   \* MERGEFORMAT</w:instrText>
        </w:r>
        <w:r>
          <w:fldChar w:fldCharType="separate"/>
        </w:r>
        <w:r>
          <w:rPr>
            <w:lang w:val="zh-CN"/>
          </w:rPr>
          <w:t>iii</w:t>
        </w:r>
        <w:r>
          <w:fldChar w:fldCharType="end"/>
        </w:r>
      </w:p>
    </w:sdtContent>
  </w:sdt>
  <w:p>
    <w:pPr>
      <w:pStyle w:val="36"/>
      <w:rPr>
        <w:rStyle w:val="13"/>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right"/>
      <w:rPr>
        <w:rStyle w:val="13"/>
      </w:rPr>
    </w:pPr>
    <w:r>
      <w:rPr>
        <w:rStyle w:val="13"/>
      </w:rPr>
      <w:fldChar w:fldCharType="begin"/>
    </w:r>
    <w:r>
      <w:rPr>
        <w:rStyle w:val="13"/>
      </w:rPr>
      <w:instrText xml:space="preserve">PAGE  </w:instrText>
    </w:r>
    <w:r>
      <w:rPr>
        <w:rStyle w:val="13"/>
      </w:rPr>
      <w:fldChar w:fldCharType="separate"/>
    </w:r>
    <w:r>
      <w:rPr>
        <w:rStyle w:val="13"/>
      </w:rPr>
      <w:t>ii</w:t>
    </w:r>
    <w:r>
      <w:rPr>
        <w:rStyle w:val="13"/>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4075127"/>
      <w:docPartObj>
        <w:docPartGallery w:val="AutoText"/>
      </w:docPartObj>
    </w:sdtPr>
    <w:sdtContent>
      <w:p>
        <w:pPr>
          <w:pStyle w:val="7"/>
          <w:jc w:val="right"/>
        </w:pPr>
        <w:r>
          <w:fldChar w:fldCharType="begin"/>
        </w:r>
        <w:r>
          <w:instrText xml:space="preserve">PAGE   \* MERGEFORMAT</w:instrText>
        </w:r>
        <w:r>
          <w:fldChar w:fldCharType="separate"/>
        </w:r>
        <w:r>
          <w:rPr>
            <w:lang w:val="zh-CN"/>
          </w:rPr>
          <w:t>5</w:t>
        </w:r>
        <w: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rStyle w:val="13"/>
      </w:rPr>
    </w:pPr>
    <w:r>
      <w:rPr>
        <w:rStyle w:val="13"/>
      </w:rPr>
      <w:fldChar w:fldCharType="begin"/>
    </w:r>
    <w:r>
      <w:rPr>
        <w:rStyle w:val="13"/>
      </w:rPr>
      <w:instrText xml:space="preserve">PAGE  </w:instrText>
    </w:r>
    <w:r>
      <w:rPr>
        <w:rStyle w:val="13"/>
      </w:rPr>
      <w:fldChar w:fldCharType="separate"/>
    </w:r>
    <w:r>
      <w:rPr>
        <w:rStyle w:val="13"/>
      </w:rPr>
      <w:t>6</w:t>
    </w:r>
    <w:r>
      <w:rPr>
        <w:rStyle w:val="13"/>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w:t>DB44 /××-2008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t>DB44 /××-2008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eastAsia="黑体"/>
      </w:rPr>
    </w:pPr>
    <w:r>
      <w:rPr>
        <w:rFonts w:eastAsia="黑体"/>
      </w:rPr>
      <w:t>DB 44/765-201</w:t>
    </w:r>
    <w:r>
      <w:rPr>
        <w:rFonts w:hint="eastAsia" w:eastAsia="黑体"/>
      </w:rPr>
      <w:t>9</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wordWrap w:val="0"/>
    </w:pPr>
    <w:bookmarkStart w:id="150" w:name="OLE_LINK2"/>
    <w:bookmarkStart w:id="151" w:name="OLE_LINK1"/>
    <w:bookmarkStart w:id="152" w:name="_Hlk458241892"/>
    <w:r>
      <w:rPr>
        <w:rFonts w:hint="eastAsia"/>
      </w:rPr>
      <w:t>DB 44/</w:t>
    </w:r>
    <w:r>
      <w:t>765-201</w:t>
    </w:r>
    <w:bookmarkEnd w:id="150"/>
    <w:bookmarkEnd w:id="151"/>
    <w:bookmarkEnd w:id="152"/>
    <w:r>
      <w:rPr>
        <w:rFonts w:hint="eastAsia"/>
      </w:rPr>
      <w:t>9</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wordWrap w:val="0"/>
      <w:rPr>
        <w:rFonts w:eastAsia="黑体"/>
        <w:szCs w:val="21"/>
      </w:rPr>
    </w:pPr>
    <w:r>
      <w:rPr>
        <w:rFonts w:eastAsia="黑体"/>
        <w:szCs w:val="21"/>
      </w:rPr>
      <w:t>DB</w:t>
    </w:r>
    <w:r>
      <w:rPr>
        <w:rFonts w:hint="eastAsia" w:eastAsia="黑体"/>
        <w:szCs w:val="21"/>
      </w:rPr>
      <w:t xml:space="preserve"> </w:t>
    </w:r>
    <w:r>
      <w:rPr>
        <w:rFonts w:eastAsia="黑体"/>
        <w:szCs w:val="21"/>
      </w:rPr>
      <w:t>44/765-201</w:t>
    </w:r>
    <w:r>
      <w:rPr>
        <w:rFonts w:hint="eastAsia" w:eastAsia="黑体"/>
        <w:szCs w:val="21"/>
      </w:rPr>
      <w:t>9</w:t>
    </w:r>
  </w:p>
  <w:p>
    <w:pPr>
      <w:pStyle w:val="37"/>
      <w:wordWrap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B0C2F"/>
    <w:multiLevelType w:val="multilevel"/>
    <w:tmpl w:val="0D0B0C2F"/>
    <w:lvl w:ilvl="0" w:tentative="0">
      <w:start w:val="1"/>
      <w:numFmt w:val="decimal"/>
      <w:pStyle w:val="30"/>
      <w:lvlText w:val="%1."/>
      <w:lvlJc w:val="left"/>
      <w:pPr>
        <w:tabs>
          <w:tab w:val="left" w:pos="720"/>
        </w:tabs>
        <w:ind w:left="720" w:hanging="720"/>
      </w:pPr>
    </w:lvl>
    <w:lvl w:ilvl="1" w:tentative="0">
      <w:start w:val="1"/>
      <w:numFmt w:val="decimal"/>
      <w:pStyle w:val="31"/>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
    <w:nsid w:val="646260FA"/>
    <w:multiLevelType w:val="multilevel"/>
    <w:tmpl w:val="646260FA"/>
    <w:lvl w:ilvl="0" w:tentative="0">
      <w:start w:val="1"/>
      <w:numFmt w:val="decimal"/>
      <w:pStyle w:val="2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z w:val="21"/>
        <w:lang w:val="en-US"/>
      </w:rPr>
    </w:lvl>
    <w:lvl w:ilvl="1" w:tentative="0">
      <w:start w:val="1"/>
      <w:numFmt w:val="decimal"/>
      <w:pStyle w:val="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CEA2025"/>
    <w:multiLevelType w:val="multilevel"/>
    <w:tmpl w:val="6CEA2025"/>
    <w:lvl w:ilvl="0" w:tentative="0">
      <w:start w:val="1"/>
      <w:numFmt w:val="none"/>
      <w:pStyle w:val="19"/>
      <w:suff w:val="nothing"/>
      <w:lvlText w:val="%1"/>
      <w:lvlJc w:val="left"/>
      <w:pPr>
        <w:ind w:left="0" w:firstLine="0"/>
      </w:pPr>
      <w:rPr>
        <w:rFonts w:hint="default" w:ascii="Times New Roman" w:hAnsi="Times New Roman"/>
        <w:b/>
        <w:i w:val="0"/>
        <w:sz w:val="21"/>
      </w:rPr>
    </w:lvl>
    <w:lvl w:ilvl="1" w:tentative="0">
      <w:start w:val="1"/>
      <w:numFmt w:val="decimal"/>
      <w:pStyle w:val="61"/>
      <w:suff w:val="nothing"/>
      <w:lvlText w:val="%1%2　"/>
      <w:lvlJc w:val="left"/>
      <w:pPr>
        <w:ind w:left="0" w:firstLine="0"/>
      </w:pPr>
      <w:rPr>
        <w:rFonts w:hint="eastAsia" w:ascii="黑体" w:hAnsi="Times New Roman" w:eastAsia="黑体"/>
        <w:b w:val="0"/>
        <w:i w:val="0"/>
        <w:sz w:val="21"/>
      </w:rPr>
    </w:lvl>
    <w:lvl w:ilvl="2" w:tentative="0">
      <w:start w:val="1"/>
      <w:numFmt w:val="decimal"/>
      <w:pStyle w:val="21"/>
      <w:suff w:val="nothing"/>
      <w:lvlText w:val="%1%2.%3　"/>
      <w:lvlJc w:val="left"/>
      <w:pPr>
        <w:ind w:left="284"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22"/>
      <w:suff w:val="nothing"/>
      <w:lvlText w:val="%1%2.%3.%4.%5.%6　"/>
      <w:lvlJc w:val="left"/>
      <w:pPr>
        <w:ind w:left="0" w:firstLine="0"/>
      </w:pPr>
      <w:rPr>
        <w:rFonts w:hint="eastAsia" w:ascii="黑体" w:hAnsi="Times New Roman" w:eastAsia="黑体"/>
        <w:b w:val="0"/>
        <w:i w:val="0"/>
        <w:sz w:val="21"/>
      </w:rPr>
    </w:lvl>
    <w:lvl w:ilvl="6" w:tentative="0">
      <w:start w:val="1"/>
      <w:numFmt w:val="decimal"/>
      <w:pStyle w:val="2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47F"/>
    <w:rsid w:val="00000AE2"/>
    <w:rsid w:val="0000157A"/>
    <w:rsid w:val="0000185E"/>
    <w:rsid w:val="0000340C"/>
    <w:rsid w:val="000076A1"/>
    <w:rsid w:val="0001315D"/>
    <w:rsid w:val="00013B5C"/>
    <w:rsid w:val="00013DED"/>
    <w:rsid w:val="000153C8"/>
    <w:rsid w:val="000162CA"/>
    <w:rsid w:val="000223D9"/>
    <w:rsid w:val="0002241F"/>
    <w:rsid w:val="00023A6F"/>
    <w:rsid w:val="0002443F"/>
    <w:rsid w:val="00024B8B"/>
    <w:rsid w:val="00025969"/>
    <w:rsid w:val="000363F5"/>
    <w:rsid w:val="00036884"/>
    <w:rsid w:val="00041732"/>
    <w:rsid w:val="0004319F"/>
    <w:rsid w:val="0004644D"/>
    <w:rsid w:val="0004731F"/>
    <w:rsid w:val="00052381"/>
    <w:rsid w:val="000534AC"/>
    <w:rsid w:val="000534E7"/>
    <w:rsid w:val="000553EC"/>
    <w:rsid w:val="00055D7E"/>
    <w:rsid w:val="00060F86"/>
    <w:rsid w:val="00061416"/>
    <w:rsid w:val="000617B9"/>
    <w:rsid w:val="0006331C"/>
    <w:rsid w:val="000701AB"/>
    <w:rsid w:val="00072381"/>
    <w:rsid w:val="000803CE"/>
    <w:rsid w:val="00083242"/>
    <w:rsid w:val="00090EA1"/>
    <w:rsid w:val="00093ACD"/>
    <w:rsid w:val="000A3FBD"/>
    <w:rsid w:val="000A62EF"/>
    <w:rsid w:val="000B0CFA"/>
    <w:rsid w:val="000B2568"/>
    <w:rsid w:val="000B2681"/>
    <w:rsid w:val="000B27CE"/>
    <w:rsid w:val="000B4C9C"/>
    <w:rsid w:val="000B564B"/>
    <w:rsid w:val="000B56A1"/>
    <w:rsid w:val="000B6D51"/>
    <w:rsid w:val="000B7B6D"/>
    <w:rsid w:val="000C0795"/>
    <w:rsid w:val="000C698C"/>
    <w:rsid w:val="000C779E"/>
    <w:rsid w:val="000D2419"/>
    <w:rsid w:val="000D61A9"/>
    <w:rsid w:val="000E606F"/>
    <w:rsid w:val="000E62BE"/>
    <w:rsid w:val="000F001C"/>
    <w:rsid w:val="000F1840"/>
    <w:rsid w:val="000F2736"/>
    <w:rsid w:val="000F2DA8"/>
    <w:rsid w:val="000F5D45"/>
    <w:rsid w:val="000F6BD9"/>
    <w:rsid w:val="000F7A69"/>
    <w:rsid w:val="001008ED"/>
    <w:rsid w:val="00102758"/>
    <w:rsid w:val="001034CD"/>
    <w:rsid w:val="00106737"/>
    <w:rsid w:val="001070B0"/>
    <w:rsid w:val="00107E0F"/>
    <w:rsid w:val="001164D7"/>
    <w:rsid w:val="00117B9B"/>
    <w:rsid w:val="00123045"/>
    <w:rsid w:val="001250F2"/>
    <w:rsid w:val="00125A89"/>
    <w:rsid w:val="00126403"/>
    <w:rsid w:val="00130BA1"/>
    <w:rsid w:val="00130D17"/>
    <w:rsid w:val="00133209"/>
    <w:rsid w:val="00136EBB"/>
    <w:rsid w:val="00137BF1"/>
    <w:rsid w:val="00141D86"/>
    <w:rsid w:val="0014576B"/>
    <w:rsid w:val="00147495"/>
    <w:rsid w:val="00151128"/>
    <w:rsid w:val="00151B1F"/>
    <w:rsid w:val="00156326"/>
    <w:rsid w:val="0016252B"/>
    <w:rsid w:val="001704E9"/>
    <w:rsid w:val="00171FCD"/>
    <w:rsid w:val="00173A89"/>
    <w:rsid w:val="00177A60"/>
    <w:rsid w:val="00181345"/>
    <w:rsid w:val="00181FD8"/>
    <w:rsid w:val="001828F0"/>
    <w:rsid w:val="00182A87"/>
    <w:rsid w:val="00182AC5"/>
    <w:rsid w:val="001856BE"/>
    <w:rsid w:val="001864E0"/>
    <w:rsid w:val="0019033B"/>
    <w:rsid w:val="001938DF"/>
    <w:rsid w:val="00193F28"/>
    <w:rsid w:val="001949C9"/>
    <w:rsid w:val="00197445"/>
    <w:rsid w:val="001A14A1"/>
    <w:rsid w:val="001A4771"/>
    <w:rsid w:val="001A76E6"/>
    <w:rsid w:val="001B0CA0"/>
    <w:rsid w:val="001B199D"/>
    <w:rsid w:val="001B248B"/>
    <w:rsid w:val="001C5AD0"/>
    <w:rsid w:val="001E0309"/>
    <w:rsid w:val="001E1D2B"/>
    <w:rsid w:val="001E2165"/>
    <w:rsid w:val="001E4509"/>
    <w:rsid w:val="001E48BA"/>
    <w:rsid w:val="001F096A"/>
    <w:rsid w:val="001F21C1"/>
    <w:rsid w:val="001F430B"/>
    <w:rsid w:val="001F45B9"/>
    <w:rsid w:val="002030FF"/>
    <w:rsid w:val="00203379"/>
    <w:rsid w:val="002072E6"/>
    <w:rsid w:val="0021049F"/>
    <w:rsid w:val="0021079D"/>
    <w:rsid w:val="00210EC9"/>
    <w:rsid w:val="00215916"/>
    <w:rsid w:val="002177F7"/>
    <w:rsid w:val="00220C46"/>
    <w:rsid w:val="002231AA"/>
    <w:rsid w:val="00232D35"/>
    <w:rsid w:val="00233D18"/>
    <w:rsid w:val="002410D6"/>
    <w:rsid w:val="00251687"/>
    <w:rsid w:val="0025404C"/>
    <w:rsid w:val="002550DC"/>
    <w:rsid w:val="00263567"/>
    <w:rsid w:val="00265E3B"/>
    <w:rsid w:val="002673D8"/>
    <w:rsid w:val="002679C9"/>
    <w:rsid w:val="00267B4E"/>
    <w:rsid w:val="002707C2"/>
    <w:rsid w:val="0027124A"/>
    <w:rsid w:val="00291068"/>
    <w:rsid w:val="0029268B"/>
    <w:rsid w:val="00297AA3"/>
    <w:rsid w:val="002A0300"/>
    <w:rsid w:val="002A07D5"/>
    <w:rsid w:val="002A141D"/>
    <w:rsid w:val="002A174D"/>
    <w:rsid w:val="002A2F4F"/>
    <w:rsid w:val="002A6803"/>
    <w:rsid w:val="002B3056"/>
    <w:rsid w:val="002B6607"/>
    <w:rsid w:val="002B7EDC"/>
    <w:rsid w:val="002C0B57"/>
    <w:rsid w:val="002C39D9"/>
    <w:rsid w:val="002C3A30"/>
    <w:rsid w:val="002C3D45"/>
    <w:rsid w:val="002C7758"/>
    <w:rsid w:val="002D0743"/>
    <w:rsid w:val="002E0C1B"/>
    <w:rsid w:val="002E2161"/>
    <w:rsid w:val="002E311B"/>
    <w:rsid w:val="002E356C"/>
    <w:rsid w:val="002F4428"/>
    <w:rsid w:val="002F6F6E"/>
    <w:rsid w:val="002F7C60"/>
    <w:rsid w:val="0030480A"/>
    <w:rsid w:val="00310DA2"/>
    <w:rsid w:val="003111CD"/>
    <w:rsid w:val="00313540"/>
    <w:rsid w:val="00317B2E"/>
    <w:rsid w:val="00322AA9"/>
    <w:rsid w:val="00324843"/>
    <w:rsid w:val="003259B8"/>
    <w:rsid w:val="00325D5F"/>
    <w:rsid w:val="00326989"/>
    <w:rsid w:val="00331618"/>
    <w:rsid w:val="003400CE"/>
    <w:rsid w:val="0034481D"/>
    <w:rsid w:val="0035188F"/>
    <w:rsid w:val="00356F8A"/>
    <w:rsid w:val="003629F5"/>
    <w:rsid w:val="0036535F"/>
    <w:rsid w:val="00366BED"/>
    <w:rsid w:val="00370E28"/>
    <w:rsid w:val="00372B1A"/>
    <w:rsid w:val="00373D0A"/>
    <w:rsid w:val="0038011F"/>
    <w:rsid w:val="00380395"/>
    <w:rsid w:val="003835A2"/>
    <w:rsid w:val="0038482F"/>
    <w:rsid w:val="003871FA"/>
    <w:rsid w:val="00393136"/>
    <w:rsid w:val="00393AE1"/>
    <w:rsid w:val="00394C0C"/>
    <w:rsid w:val="003B078C"/>
    <w:rsid w:val="003B1301"/>
    <w:rsid w:val="003B46E1"/>
    <w:rsid w:val="003C0F1D"/>
    <w:rsid w:val="003C5108"/>
    <w:rsid w:val="003C6041"/>
    <w:rsid w:val="003C61BE"/>
    <w:rsid w:val="003C6FB1"/>
    <w:rsid w:val="003C7118"/>
    <w:rsid w:val="003E025A"/>
    <w:rsid w:val="003E09B8"/>
    <w:rsid w:val="003E11CD"/>
    <w:rsid w:val="003E1C1D"/>
    <w:rsid w:val="003E4275"/>
    <w:rsid w:val="003E4E48"/>
    <w:rsid w:val="003E5097"/>
    <w:rsid w:val="003E553B"/>
    <w:rsid w:val="003F42CB"/>
    <w:rsid w:val="003F53C2"/>
    <w:rsid w:val="00400B39"/>
    <w:rsid w:val="00404971"/>
    <w:rsid w:val="00406C3F"/>
    <w:rsid w:val="00416C5F"/>
    <w:rsid w:val="00417C4F"/>
    <w:rsid w:val="00422D5A"/>
    <w:rsid w:val="0042458A"/>
    <w:rsid w:val="00431303"/>
    <w:rsid w:val="00431569"/>
    <w:rsid w:val="004326E3"/>
    <w:rsid w:val="00433097"/>
    <w:rsid w:val="00435490"/>
    <w:rsid w:val="00437D5D"/>
    <w:rsid w:val="00442E83"/>
    <w:rsid w:val="004464EF"/>
    <w:rsid w:val="00454B17"/>
    <w:rsid w:val="00456113"/>
    <w:rsid w:val="0046081D"/>
    <w:rsid w:val="004660E4"/>
    <w:rsid w:val="00467428"/>
    <w:rsid w:val="00470E6A"/>
    <w:rsid w:val="00475BBF"/>
    <w:rsid w:val="004764D0"/>
    <w:rsid w:val="00490267"/>
    <w:rsid w:val="00494DFC"/>
    <w:rsid w:val="00495F64"/>
    <w:rsid w:val="004966EE"/>
    <w:rsid w:val="00496B19"/>
    <w:rsid w:val="004A01FF"/>
    <w:rsid w:val="004A0608"/>
    <w:rsid w:val="004A4821"/>
    <w:rsid w:val="004B0935"/>
    <w:rsid w:val="004B1ACA"/>
    <w:rsid w:val="004B1ACB"/>
    <w:rsid w:val="004B57A1"/>
    <w:rsid w:val="004B6006"/>
    <w:rsid w:val="004C0B08"/>
    <w:rsid w:val="004C0B34"/>
    <w:rsid w:val="004C6243"/>
    <w:rsid w:val="004C7E0A"/>
    <w:rsid w:val="004D2632"/>
    <w:rsid w:val="004D5280"/>
    <w:rsid w:val="004D5D72"/>
    <w:rsid w:val="004D71DD"/>
    <w:rsid w:val="004E13B2"/>
    <w:rsid w:val="004E4B4D"/>
    <w:rsid w:val="004F07FB"/>
    <w:rsid w:val="004F4FD6"/>
    <w:rsid w:val="004F5B4D"/>
    <w:rsid w:val="005019AC"/>
    <w:rsid w:val="00503395"/>
    <w:rsid w:val="00504862"/>
    <w:rsid w:val="005131E3"/>
    <w:rsid w:val="005135CE"/>
    <w:rsid w:val="0051404B"/>
    <w:rsid w:val="0051410E"/>
    <w:rsid w:val="0051545E"/>
    <w:rsid w:val="00515517"/>
    <w:rsid w:val="00516300"/>
    <w:rsid w:val="00517784"/>
    <w:rsid w:val="00517DC1"/>
    <w:rsid w:val="00530E99"/>
    <w:rsid w:val="00531E51"/>
    <w:rsid w:val="005357AD"/>
    <w:rsid w:val="00540991"/>
    <w:rsid w:val="00550DB0"/>
    <w:rsid w:val="00553715"/>
    <w:rsid w:val="00557383"/>
    <w:rsid w:val="005600F1"/>
    <w:rsid w:val="005631D5"/>
    <w:rsid w:val="0056780F"/>
    <w:rsid w:val="0057017F"/>
    <w:rsid w:val="0057021C"/>
    <w:rsid w:val="0057060E"/>
    <w:rsid w:val="00570D46"/>
    <w:rsid w:val="005749D4"/>
    <w:rsid w:val="00576152"/>
    <w:rsid w:val="0057720C"/>
    <w:rsid w:val="00585B47"/>
    <w:rsid w:val="00585D68"/>
    <w:rsid w:val="005914E2"/>
    <w:rsid w:val="00592C2A"/>
    <w:rsid w:val="005932DD"/>
    <w:rsid w:val="00593841"/>
    <w:rsid w:val="005A2871"/>
    <w:rsid w:val="005A3CD4"/>
    <w:rsid w:val="005A59EB"/>
    <w:rsid w:val="005B0531"/>
    <w:rsid w:val="005B0AE3"/>
    <w:rsid w:val="005B19EC"/>
    <w:rsid w:val="005C3060"/>
    <w:rsid w:val="005D3F8B"/>
    <w:rsid w:val="005E356A"/>
    <w:rsid w:val="005E3BE5"/>
    <w:rsid w:val="005E3F8A"/>
    <w:rsid w:val="005E5A14"/>
    <w:rsid w:val="005F52A7"/>
    <w:rsid w:val="005F630F"/>
    <w:rsid w:val="005F645F"/>
    <w:rsid w:val="00612986"/>
    <w:rsid w:val="00612C09"/>
    <w:rsid w:val="00621576"/>
    <w:rsid w:val="00625513"/>
    <w:rsid w:val="00626080"/>
    <w:rsid w:val="00626F1D"/>
    <w:rsid w:val="006310E0"/>
    <w:rsid w:val="00631EF2"/>
    <w:rsid w:val="00632481"/>
    <w:rsid w:val="00634395"/>
    <w:rsid w:val="00635FEA"/>
    <w:rsid w:val="0063617C"/>
    <w:rsid w:val="006410ED"/>
    <w:rsid w:val="00644275"/>
    <w:rsid w:val="00644AC6"/>
    <w:rsid w:val="00651471"/>
    <w:rsid w:val="006519F0"/>
    <w:rsid w:val="00653409"/>
    <w:rsid w:val="0065465C"/>
    <w:rsid w:val="00661F5C"/>
    <w:rsid w:val="006629D3"/>
    <w:rsid w:val="0066478F"/>
    <w:rsid w:val="00667F37"/>
    <w:rsid w:val="00671156"/>
    <w:rsid w:val="006733D6"/>
    <w:rsid w:val="00673900"/>
    <w:rsid w:val="00677916"/>
    <w:rsid w:val="0068517F"/>
    <w:rsid w:val="00685E61"/>
    <w:rsid w:val="006863AE"/>
    <w:rsid w:val="00687A50"/>
    <w:rsid w:val="0069073D"/>
    <w:rsid w:val="006A04A2"/>
    <w:rsid w:val="006A3A60"/>
    <w:rsid w:val="006A46D1"/>
    <w:rsid w:val="006A5EAD"/>
    <w:rsid w:val="006A776B"/>
    <w:rsid w:val="006B0BA8"/>
    <w:rsid w:val="006B1BA0"/>
    <w:rsid w:val="006B1F52"/>
    <w:rsid w:val="006B4E8B"/>
    <w:rsid w:val="006C08F1"/>
    <w:rsid w:val="006C2E73"/>
    <w:rsid w:val="006C4BFD"/>
    <w:rsid w:val="006C5A4C"/>
    <w:rsid w:val="006C6AAC"/>
    <w:rsid w:val="006D35FF"/>
    <w:rsid w:val="006D4FA9"/>
    <w:rsid w:val="006D51B6"/>
    <w:rsid w:val="006E097D"/>
    <w:rsid w:val="006E31C0"/>
    <w:rsid w:val="006E4593"/>
    <w:rsid w:val="006E5092"/>
    <w:rsid w:val="006E7663"/>
    <w:rsid w:val="006F1F54"/>
    <w:rsid w:val="006F3841"/>
    <w:rsid w:val="006F5EBE"/>
    <w:rsid w:val="006F6447"/>
    <w:rsid w:val="006F6BCE"/>
    <w:rsid w:val="00702028"/>
    <w:rsid w:val="00703584"/>
    <w:rsid w:val="0070711B"/>
    <w:rsid w:val="00714F79"/>
    <w:rsid w:val="00716F67"/>
    <w:rsid w:val="00720D1A"/>
    <w:rsid w:val="0072122F"/>
    <w:rsid w:val="00723613"/>
    <w:rsid w:val="00723B57"/>
    <w:rsid w:val="0072465C"/>
    <w:rsid w:val="0072487F"/>
    <w:rsid w:val="007275ED"/>
    <w:rsid w:val="0073044A"/>
    <w:rsid w:val="00730826"/>
    <w:rsid w:val="00733BDF"/>
    <w:rsid w:val="00735567"/>
    <w:rsid w:val="0073680C"/>
    <w:rsid w:val="00737619"/>
    <w:rsid w:val="00737A6C"/>
    <w:rsid w:val="0074153E"/>
    <w:rsid w:val="00741A1C"/>
    <w:rsid w:val="00742726"/>
    <w:rsid w:val="007465B6"/>
    <w:rsid w:val="00752882"/>
    <w:rsid w:val="0076069A"/>
    <w:rsid w:val="00766427"/>
    <w:rsid w:val="007706CB"/>
    <w:rsid w:val="00771F38"/>
    <w:rsid w:val="00774D6B"/>
    <w:rsid w:val="00776567"/>
    <w:rsid w:val="007800DB"/>
    <w:rsid w:val="007805A1"/>
    <w:rsid w:val="00780D83"/>
    <w:rsid w:val="007818F8"/>
    <w:rsid w:val="00787641"/>
    <w:rsid w:val="0079584C"/>
    <w:rsid w:val="007A1C76"/>
    <w:rsid w:val="007B10D5"/>
    <w:rsid w:val="007B2951"/>
    <w:rsid w:val="007B41CD"/>
    <w:rsid w:val="007C6903"/>
    <w:rsid w:val="007D105E"/>
    <w:rsid w:val="007D1468"/>
    <w:rsid w:val="007D2A2B"/>
    <w:rsid w:val="007E54FB"/>
    <w:rsid w:val="007E6178"/>
    <w:rsid w:val="007F462A"/>
    <w:rsid w:val="007F5E92"/>
    <w:rsid w:val="007F77D5"/>
    <w:rsid w:val="00804ADE"/>
    <w:rsid w:val="0081191D"/>
    <w:rsid w:val="00811D8D"/>
    <w:rsid w:val="00812449"/>
    <w:rsid w:val="0081582C"/>
    <w:rsid w:val="0082100B"/>
    <w:rsid w:val="00823D98"/>
    <w:rsid w:val="008250DE"/>
    <w:rsid w:val="00833EBB"/>
    <w:rsid w:val="008347CB"/>
    <w:rsid w:val="00841AA4"/>
    <w:rsid w:val="00844CC9"/>
    <w:rsid w:val="008451E6"/>
    <w:rsid w:val="008454B5"/>
    <w:rsid w:val="00850DA2"/>
    <w:rsid w:val="00852138"/>
    <w:rsid w:val="00853A01"/>
    <w:rsid w:val="00853BB0"/>
    <w:rsid w:val="00853C6A"/>
    <w:rsid w:val="00857AA1"/>
    <w:rsid w:val="00860611"/>
    <w:rsid w:val="00864742"/>
    <w:rsid w:val="00865F70"/>
    <w:rsid w:val="008731BD"/>
    <w:rsid w:val="00880C19"/>
    <w:rsid w:val="00882052"/>
    <w:rsid w:val="0088384F"/>
    <w:rsid w:val="00884052"/>
    <w:rsid w:val="008873C9"/>
    <w:rsid w:val="00893FC6"/>
    <w:rsid w:val="008A2531"/>
    <w:rsid w:val="008A3BFA"/>
    <w:rsid w:val="008A3DFF"/>
    <w:rsid w:val="008A7682"/>
    <w:rsid w:val="008B0F0B"/>
    <w:rsid w:val="008B2132"/>
    <w:rsid w:val="008B540C"/>
    <w:rsid w:val="008B713C"/>
    <w:rsid w:val="008C74C9"/>
    <w:rsid w:val="008C7DC0"/>
    <w:rsid w:val="008D0AA6"/>
    <w:rsid w:val="008D19F5"/>
    <w:rsid w:val="008D5C1A"/>
    <w:rsid w:val="008D7B20"/>
    <w:rsid w:val="008E4523"/>
    <w:rsid w:val="008F0370"/>
    <w:rsid w:val="00900238"/>
    <w:rsid w:val="009009A5"/>
    <w:rsid w:val="00902325"/>
    <w:rsid w:val="00913658"/>
    <w:rsid w:val="00915535"/>
    <w:rsid w:val="00915E26"/>
    <w:rsid w:val="0091602A"/>
    <w:rsid w:val="00920DED"/>
    <w:rsid w:val="00923133"/>
    <w:rsid w:val="009251A7"/>
    <w:rsid w:val="00926806"/>
    <w:rsid w:val="0093054A"/>
    <w:rsid w:val="009319C7"/>
    <w:rsid w:val="009326E0"/>
    <w:rsid w:val="00932952"/>
    <w:rsid w:val="00943343"/>
    <w:rsid w:val="009442B5"/>
    <w:rsid w:val="00954888"/>
    <w:rsid w:val="009572AA"/>
    <w:rsid w:val="009646C4"/>
    <w:rsid w:val="00965471"/>
    <w:rsid w:val="00965C27"/>
    <w:rsid w:val="00965D23"/>
    <w:rsid w:val="009702D8"/>
    <w:rsid w:val="00970B80"/>
    <w:rsid w:val="009815CC"/>
    <w:rsid w:val="00981F69"/>
    <w:rsid w:val="00984187"/>
    <w:rsid w:val="00984CD0"/>
    <w:rsid w:val="00990B04"/>
    <w:rsid w:val="00991060"/>
    <w:rsid w:val="00992037"/>
    <w:rsid w:val="00995C41"/>
    <w:rsid w:val="009969F8"/>
    <w:rsid w:val="009A03C2"/>
    <w:rsid w:val="009A0DC4"/>
    <w:rsid w:val="009A4825"/>
    <w:rsid w:val="009A5E33"/>
    <w:rsid w:val="009A6525"/>
    <w:rsid w:val="009B5B89"/>
    <w:rsid w:val="009B6B78"/>
    <w:rsid w:val="009C21C5"/>
    <w:rsid w:val="009C53BF"/>
    <w:rsid w:val="009D20D4"/>
    <w:rsid w:val="009D30FC"/>
    <w:rsid w:val="009D37DC"/>
    <w:rsid w:val="009D43F1"/>
    <w:rsid w:val="009D56B6"/>
    <w:rsid w:val="009D60AF"/>
    <w:rsid w:val="009E174D"/>
    <w:rsid w:val="009E7EC6"/>
    <w:rsid w:val="009F1D0E"/>
    <w:rsid w:val="009F3149"/>
    <w:rsid w:val="009F7F03"/>
    <w:rsid w:val="00A00129"/>
    <w:rsid w:val="00A04D57"/>
    <w:rsid w:val="00A07A24"/>
    <w:rsid w:val="00A07B56"/>
    <w:rsid w:val="00A20A11"/>
    <w:rsid w:val="00A2477D"/>
    <w:rsid w:val="00A27039"/>
    <w:rsid w:val="00A276A3"/>
    <w:rsid w:val="00A302D3"/>
    <w:rsid w:val="00A329F1"/>
    <w:rsid w:val="00A331C0"/>
    <w:rsid w:val="00A333F7"/>
    <w:rsid w:val="00A3483E"/>
    <w:rsid w:val="00A34FEC"/>
    <w:rsid w:val="00A40FB2"/>
    <w:rsid w:val="00A42FCF"/>
    <w:rsid w:val="00A513E8"/>
    <w:rsid w:val="00A5354E"/>
    <w:rsid w:val="00A5680C"/>
    <w:rsid w:val="00A61181"/>
    <w:rsid w:val="00A61C91"/>
    <w:rsid w:val="00A6221C"/>
    <w:rsid w:val="00A63D8D"/>
    <w:rsid w:val="00A643B3"/>
    <w:rsid w:val="00A71B0E"/>
    <w:rsid w:val="00A750AC"/>
    <w:rsid w:val="00A80E8E"/>
    <w:rsid w:val="00A80F21"/>
    <w:rsid w:val="00A81319"/>
    <w:rsid w:val="00A81567"/>
    <w:rsid w:val="00A82381"/>
    <w:rsid w:val="00A84F2A"/>
    <w:rsid w:val="00A854A2"/>
    <w:rsid w:val="00A91E46"/>
    <w:rsid w:val="00A92BEF"/>
    <w:rsid w:val="00A9702C"/>
    <w:rsid w:val="00AA1BE9"/>
    <w:rsid w:val="00AA2B4E"/>
    <w:rsid w:val="00AA48DE"/>
    <w:rsid w:val="00AA66F1"/>
    <w:rsid w:val="00AB1AE1"/>
    <w:rsid w:val="00AB3AA0"/>
    <w:rsid w:val="00AC2AD3"/>
    <w:rsid w:val="00AD2EB9"/>
    <w:rsid w:val="00AD6E9A"/>
    <w:rsid w:val="00AE1667"/>
    <w:rsid w:val="00AE2198"/>
    <w:rsid w:val="00AE6208"/>
    <w:rsid w:val="00AE6674"/>
    <w:rsid w:val="00AF2067"/>
    <w:rsid w:val="00AF2781"/>
    <w:rsid w:val="00AF4469"/>
    <w:rsid w:val="00AF6ABC"/>
    <w:rsid w:val="00AF790A"/>
    <w:rsid w:val="00B0090E"/>
    <w:rsid w:val="00B01004"/>
    <w:rsid w:val="00B0666B"/>
    <w:rsid w:val="00B06994"/>
    <w:rsid w:val="00B10F7D"/>
    <w:rsid w:val="00B11C3A"/>
    <w:rsid w:val="00B13BB4"/>
    <w:rsid w:val="00B147D1"/>
    <w:rsid w:val="00B20B8C"/>
    <w:rsid w:val="00B20EB5"/>
    <w:rsid w:val="00B213C7"/>
    <w:rsid w:val="00B21812"/>
    <w:rsid w:val="00B238F5"/>
    <w:rsid w:val="00B24290"/>
    <w:rsid w:val="00B243B4"/>
    <w:rsid w:val="00B33881"/>
    <w:rsid w:val="00B35F31"/>
    <w:rsid w:val="00B37368"/>
    <w:rsid w:val="00B40862"/>
    <w:rsid w:val="00B43737"/>
    <w:rsid w:val="00B4713A"/>
    <w:rsid w:val="00B471F7"/>
    <w:rsid w:val="00B47F45"/>
    <w:rsid w:val="00B5535A"/>
    <w:rsid w:val="00B557F4"/>
    <w:rsid w:val="00B65261"/>
    <w:rsid w:val="00B7254E"/>
    <w:rsid w:val="00B74589"/>
    <w:rsid w:val="00B756F0"/>
    <w:rsid w:val="00B77B15"/>
    <w:rsid w:val="00B77B38"/>
    <w:rsid w:val="00B84CBE"/>
    <w:rsid w:val="00B861BC"/>
    <w:rsid w:val="00B93672"/>
    <w:rsid w:val="00BA221D"/>
    <w:rsid w:val="00BA3479"/>
    <w:rsid w:val="00BA6EEF"/>
    <w:rsid w:val="00BB101A"/>
    <w:rsid w:val="00BB1530"/>
    <w:rsid w:val="00BB3A4A"/>
    <w:rsid w:val="00BB40A9"/>
    <w:rsid w:val="00BB6F03"/>
    <w:rsid w:val="00BC3909"/>
    <w:rsid w:val="00BC3E73"/>
    <w:rsid w:val="00BC4334"/>
    <w:rsid w:val="00BC7CC6"/>
    <w:rsid w:val="00BE50B7"/>
    <w:rsid w:val="00BF55CD"/>
    <w:rsid w:val="00BF6377"/>
    <w:rsid w:val="00C03B16"/>
    <w:rsid w:val="00C05067"/>
    <w:rsid w:val="00C06947"/>
    <w:rsid w:val="00C07F97"/>
    <w:rsid w:val="00C12BCE"/>
    <w:rsid w:val="00C233A9"/>
    <w:rsid w:val="00C27350"/>
    <w:rsid w:val="00C30AC9"/>
    <w:rsid w:val="00C30ADE"/>
    <w:rsid w:val="00C373F9"/>
    <w:rsid w:val="00C40127"/>
    <w:rsid w:val="00C52D63"/>
    <w:rsid w:val="00C55747"/>
    <w:rsid w:val="00C55DC3"/>
    <w:rsid w:val="00C5610F"/>
    <w:rsid w:val="00C613D4"/>
    <w:rsid w:val="00C6252C"/>
    <w:rsid w:val="00C64191"/>
    <w:rsid w:val="00C65CE8"/>
    <w:rsid w:val="00C65D23"/>
    <w:rsid w:val="00C73E9E"/>
    <w:rsid w:val="00C75147"/>
    <w:rsid w:val="00C76215"/>
    <w:rsid w:val="00C82C4E"/>
    <w:rsid w:val="00C833B4"/>
    <w:rsid w:val="00C92D9C"/>
    <w:rsid w:val="00C94EE7"/>
    <w:rsid w:val="00C957E3"/>
    <w:rsid w:val="00CA022B"/>
    <w:rsid w:val="00CB2496"/>
    <w:rsid w:val="00CB7EDE"/>
    <w:rsid w:val="00CC0DBB"/>
    <w:rsid w:val="00CC10A6"/>
    <w:rsid w:val="00CC43E6"/>
    <w:rsid w:val="00CC5799"/>
    <w:rsid w:val="00CD12BF"/>
    <w:rsid w:val="00CD1371"/>
    <w:rsid w:val="00CD1C39"/>
    <w:rsid w:val="00CE00A5"/>
    <w:rsid w:val="00CE027B"/>
    <w:rsid w:val="00CE1D06"/>
    <w:rsid w:val="00CE23F5"/>
    <w:rsid w:val="00CF01EA"/>
    <w:rsid w:val="00CF14D2"/>
    <w:rsid w:val="00D00588"/>
    <w:rsid w:val="00D01DD3"/>
    <w:rsid w:val="00D04A7B"/>
    <w:rsid w:val="00D13BDE"/>
    <w:rsid w:val="00D14C02"/>
    <w:rsid w:val="00D15012"/>
    <w:rsid w:val="00D1567B"/>
    <w:rsid w:val="00D16B90"/>
    <w:rsid w:val="00D178B5"/>
    <w:rsid w:val="00D22115"/>
    <w:rsid w:val="00D27485"/>
    <w:rsid w:val="00D32C1A"/>
    <w:rsid w:val="00D40A02"/>
    <w:rsid w:val="00D42EDC"/>
    <w:rsid w:val="00D50158"/>
    <w:rsid w:val="00D60D38"/>
    <w:rsid w:val="00D641AB"/>
    <w:rsid w:val="00D71D3E"/>
    <w:rsid w:val="00D7204D"/>
    <w:rsid w:val="00D72A87"/>
    <w:rsid w:val="00D73515"/>
    <w:rsid w:val="00D759D3"/>
    <w:rsid w:val="00D8138F"/>
    <w:rsid w:val="00D83139"/>
    <w:rsid w:val="00D90F97"/>
    <w:rsid w:val="00D947ED"/>
    <w:rsid w:val="00DA1C21"/>
    <w:rsid w:val="00DB1692"/>
    <w:rsid w:val="00DB7871"/>
    <w:rsid w:val="00DC39E7"/>
    <w:rsid w:val="00DC453C"/>
    <w:rsid w:val="00DC4D74"/>
    <w:rsid w:val="00DC7C23"/>
    <w:rsid w:val="00DD129E"/>
    <w:rsid w:val="00DD2259"/>
    <w:rsid w:val="00DD27CC"/>
    <w:rsid w:val="00DD53A1"/>
    <w:rsid w:val="00DD56C7"/>
    <w:rsid w:val="00DF1E25"/>
    <w:rsid w:val="00E01F05"/>
    <w:rsid w:val="00E04B83"/>
    <w:rsid w:val="00E06BFD"/>
    <w:rsid w:val="00E10DE3"/>
    <w:rsid w:val="00E10F47"/>
    <w:rsid w:val="00E152B5"/>
    <w:rsid w:val="00E15408"/>
    <w:rsid w:val="00E16107"/>
    <w:rsid w:val="00E2023E"/>
    <w:rsid w:val="00E20795"/>
    <w:rsid w:val="00E21C99"/>
    <w:rsid w:val="00E23033"/>
    <w:rsid w:val="00E246D1"/>
    <w:rsid w:val="00E25BED"/>
    <w:rsid w:val="00E312DA"/>
    <w:rsid w:val="00E32089"/>
    <w:rsid w:val="00E36091"/>
    <w:rsid w:val="00E43563"/>
    <w:rsid w:val="00E45022"/>
    <w:rsid w:val="00E46045"/>
    <w:rsid w:val="00E46706"/>
    <w:rsid w:val="00E46F0C"/>
    <w:rsid w:val="00E53315"/>
    <w:rsid w:val="00E56BAC"/>
    <w:rsid w:val="00E634D1"/>
    <w:rsid w:val="00E65C73"/>
    <w:rsid w:val="00E66323"/>
    <w:rsid w:val="00E7070E"/>
    <w:rsid w:val="00E75F96"/>
    <w:rsid w:val="00E77029"/>
    <w:rsid w:val="00E77880"/>
    <w:rsid w:val="00E81258"/>
    <w:rsid w:val="00E844D0"/>
    <w:rsid w:val="00E85D37"/>
    <w:rsid w:val="00E85FE3"/>
    <w:rsid w:val="00E86DBC"/>
    <w:rsid w:val="00E962E5"/>
    <w:rsid w:val="00E969A2"/>
    <w:rsid w:val="00E96D55"/>
    <w:rsid w:val="00EA12AE"/>
    <w:rsid w:val="00EA1F1D"/>
    <w:rsid w:val="00EB3022"/>
    <w:rsid w:val="00EB37FA"/>
    <w:rsid w:val="00EB5358"/>
    <w:rsid w:val="00EB5CF5"/>
    <w:rsid w:val="00EB622D"/>
    <w:rsid w:val="00EC2AA4"/>
    <w:rsid w:val="00EC309F"/>
    <w:rsid w:val="00EC42A9"/>
    <w:rsid w:val="00ED4BC3"/>
    <w:rsid w:val="00EE1C5F"/>
    <w:rsid w:val="00EE21EA"/>
    <w:rsid w:val="00EF3ECB"/>
    <w:rsid w:val="00F0513F"/>
    <w:rsid w:val="00F115CE"/>
    <w:rsid w:val="00F12125"/>
    <w:rsid w:val="00F12719"/>
    <w:rsid w:val="00F207AF"/>
    <w:rsid w:val="00F242DD"/>
    <w:rsid w:val="00F24E68"/>
    <w:rsid w:val="00F25896"/>
    <w:rsid w:val="00F3096F"/>
    <w:rsid w:val="00F35CCA"/>
    <w:rsid w:val="00F36D73"/>
    <w:rsid w:val="00F417BF"/>
    <w:rsid w:val="00F45374"/>
    <w:rsid w:val="00F46240"/>
    <w:rsid w:val="00F46BC3"/>
    <w:rsid w:val="00F52372"/>
    <w:rsid w:val="00F53D05"/>
    <w:rsid w:val="00F549D0"/>
    <w:rsid w:val="00F54D42"/>
    <w:rsid w:val="00F602CA"/>
    <w:rsid w:val="00F60788"/>
    <w:rsid w:val="00F64FF3"/>
    <w:rsid w:val="00F710CF"/>
    <w:rsid w:val="00F7131A"/>
    <w:rsid w:val="00F71BA0"/>
    <w:rsid w:val="00F74214"/>
    <w:rsid w:val="00F769E3"/>
    <w:rsid w:val="00F820AD"/>
    <w:rsid w:val="00F8347F"/>
    <w:rsid w:val="00F9289F"/>
    <w:rsid w:val="00FA0B9D"/>
    <w:rsid w:val="00FA2895"/>
    <w:rsid w:val="00FA3E79"/>
    <w:rsid w:val="00FA5169"/>
    <w:rsid w:val="00FA7FC4"/>
    <w:rsid w:val="00FB183B"/>
    <w:rsid w:val="00FB2C1D"/>
    <w:rsid w:val="00FC572A"/>
    <w:rsid w:val="00FC67B2"/>
    <w:rsid w:val="00FD4442"/>
    <w:rsid w:val="00FD5007"/>
    <w:rsid w:val="00FE5D55"/>
    <w:rsid w:val="00FF214F"/>
    <w:rsid w:val="00FF4747"/>
    <w:rsid w:val="00FF657B"/>
    <w:rsid w:val="00FF7A1F"/>
    <w:rsid w:val="77C85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2"/>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5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56"/>
    <w:semiHidden/>
    <w:unhideWhenUsed/>
    <w:qFormat/>
    <w:uiPriority w:val="99"/>
    <w:pPr>
      <w:jc w:val="left"/>
    </w:pPr>
  </w:style>
  <w:style w:type="paragraph" w:styleId="5">
    <w:name w:val="toc 3"/>
    <w:basedOn w:val="1"/>
    <w:next w:val="1"/>
    <w:qFormat/>
    <w:uiPriority w:val="39"/>
    <w:pPr>
      <w:tabs>
        <w:tab w:val="right" w:leader="dot" w:pos="9345"/>
      </w:tabs>
      <w:spacing w:line="360" w:lineRule="auto"/>
    </w:pPr>
  </w:style>
  <w:style w:type="paragraph" w:styleId="6">
    <w:name w:val="Balloon Text"/>
    <w:basedOn w:val="1"/>
    <w:link w:val="58"/>
    <w:semiHidden/>
    <w:unhideWhenUsed/>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57"/>
    <w:semiHidden/>
    <w:unhideWhenUsed/>
    <w:uiPriority w:val="99"/>
    <w:rPr>
      <w:b/>
      <w:bCs/>
    </w:rPr>
  </w:style>
  <w:style w:type="table" w:styleId="11">
    <w:name w:val="Table Grid"/>
    <w:basedOn w:val="10"/>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page number"/>
    <w:basedOn w:val="12"/>
    <w:qFormat/>
    <w:uiPriority w:val="0"/>
  </w:style>
  <w:style w:type="character" w:styleId="14">
    <w:name w:val="Emphasis"/>
    <w:basedOn w:val="12"/>
    <w:qFormat/>
    <w:uiPriority w:val="0"/>
    <w:rPr>
      <w:color w:val="CC0033"/>
    </w:rPr>
  </w:style>
  <w:style w:type="character" w:styleId="15">
    <w:name w:val="Hyperlink"/>
    <w:basedOn w:val="12"/>
    <w:qFormat/>
    <w:uiPriority w:val="99"/>
    <w:rPr>
      <w:color w:val="0000FF"/>
      <w:u w:val="single"/>
    </w:rPr>
  </w:style>
  <w:style w:type="character" w:styleId="16">
    <w:name w:val="annotation reference"/>
    <w:basedOn w:val="12"/>
    <w:semiHidden/>
    <w:unhideWhenUsed/>
    <w:qFormat/>
    <w:uiPriority w:val="99"/>
    <w:rPr>
      <w:sz w:val="21"/>
      <w:szCs w:val="21"/>
    </w:rPr>
  </w:style>
  <w:style w:type="character" w:customStyle="1" w:styleId="17">
    <w:name w:val="页眉 Char"/>
    <w:basedOn w:val="12"/>
    <w:link w:val="8"/>
    <w:qFormat/>
    <w:uiPriority w:val="99"/>
    <w:rPr>
      <w:sz w:val="18"/>
      <w:szCs w:val="18"/>
    </w:rPr>
  </w:style>
  <w:style w:type="character" w:customStyle="1" w:styleId="18">
    <w:name w:val="页脚 Char"/>
    <w:basedOn w:val="12"/>
    <w:link w:val="7"/>
    <w:uiPriority w:val="99"/>
    <w:rPr>
      <w:sz w:val="18"/>
      <w:szCs w:val="18"/>
    </w:rPr>
  </w:style>
  <w:style w:type="paragraph" w:customStyle="1" w:styleId="19">
    <w:name w:val="前言、引言标题"/>
    <w:next w:val="1"/>
    <w:qFormat/>
    <w:uiPriority w:val="99"/>
    <w:pPr>
      <w:numPr>
        <w:ilvl w:val="0"/>
        <w:numId w:val="1"/>
      </w:numPr>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20">
    <w:name w:val="章标题"/>
    <w:next w:val="1"/>
    <w:uiPriority w:val="0"/>
    <w:pPr>
      <w:numPr>
        <w:ilvl w:val="1"/>
        <w:numId w:val="1"/>
      </w:numPr>
      <w:spacing w:before="156" w:beforeLines="50" w:after="156" w:afterLines="50"/>
      <w:jc w:val="both"/>
      <w:outlineLvl w:val="1"/>
    </w:pPr>
    <w:rPr>
      <w:rFonts w:ascii="黑体" w:hAnsi="Times New Roman" w:eastAsia="黑体" w:cs="Times New Roman"/>
      <w:kern w:val="0"/>
      <w:sz w:val="21"/>
      <w:szCs w:val="20"/>
      <w:lang w:val="en-US" w:eastAsia="zh-CN" w:bidi="ar-SA"/>
    </w:rPr>
  </w:style>
  <w:style w:type="paragraph" w:customStyle="1" w:styleId="21">
    <w:name w:val="一级条标题"/>
    <w:basedOn w:val="20"/>
    <w:next w:val="1"/>
    <w:qFormat/>
    <w:uiPriority w:val="0"/>
    <w:pPr>
      <w:numPr>
        <w:ilvl w:val="2"/>
      </w:numPr>
      <w:spacing w:before="0" w:beforeLines="0" w:after="0" w:afterLines="0"/>
      <w:ind w:left="1843"/>
      <w:outlineLvl w:val="2"/>
    </w:pPr>
  </w:style>
  <w:style w:type="paragraph" w:customStyle="1" w:styleId="22">
    <w:name w:val="四级条标题"/>
    <w:basedOn w:val="1"/>
    <w:next w:val="1"/>
    <w:qFormat/>
    <w:uiPriority w:val="0"/>
    <w:pPr>
      <w:widowControl/>
      <w:numPr>
        <w:ilvl w:val="5"/>
        <w:numId w:val="1"/>
      </w:numPr>
      <w:outlineLvl w:val="5"/>
    </w:pPr>
    <w:rPr>
      <w:rFonts w:ascii="黑体" w:eastAsia="黑体"/>
      <w:kern w:val="0"/>
      <w:szCs w:val="20"/>
    </w:rPr>
  </w:style>
  <w:style w:type="paragraph" w:customStyle="1" w:styleId="23">
    <w:name w:val="五级条标题"/>
    <w:basedOn w:val="22"/>
    <w:next w:val="1"/>
    <w:uiPriority w:val="0"/>
    <w:pPr>
      <w:numPr>
        <w:ilvl w:val="6"/>
      </w:numPr>
      <w:outlineLvl w:val="6"/>
    </w:pPr>
  </w:style>
  <w:style w:type="paragraph" w:customStyle="1" w:styleId="24">
    <w:name w:val="二级条标题"/>
    <w:basedOn w:val="21"/>
    <w:next w:val="1"/>
    <w:uiPriority w:val="0"/>
    <w:pPr>
      <w:numPr>
        <w:ilvl w:val="0"/>
        <w:numId w:val="0"/>
      </w:numPr>
      <w:outlineLvl w:val="3"/>
    </w:pPr>
  </w:style>
  <w:style w:type="paragraph" w:customStyle="1" w:styleId="25">
    <w:name w:val="封面标准文稿编辑信息"/>
    <w:uiPriority w:val="0"/>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26">
    <w:name w:val="正文表标题"/>
    <w:next w:val="1"/>
    <w:qFormat/>
    <w:uiPriority w:val="0"/>
    <w:pPr>
      <w:numPr>
        <w:ilvl w:val="0"/>
        <w:numId w:val="2"/>
      </w:numPr>
      <w:jc w:val="center"/>
    </w:pPr>
    <w:rPr>
      <w:rFonts w:ascii="黑体" w:hAnsi="Times New Roman" w:eastAsia="黑体" w:cs="Times New Roman"/>
      <w:kern w:val="0"/>
      <w:sz w:val="21"/>
      <w:szCs w:val="20"/>
      <w:lang w:val="en-US" w:eastAsia="zh-CN" w:bidi="ar-SA"/>
    </w:rPr>
  </w:style>
  <w:style w:type="paragraph" w:customStyle="1" w:styleId="27">
    <w:name w:val="段"/>
    <w:qFormat/>
    <w:uiPriority w:val="0"/>
    <w:pPr>
      <w:autoSpaceDE w:val="0"/>
      <w:autoSpaceDN w:val="0"/>
      <w:ind w:firstLine="420" w:firstLineChars="200"/>
      <w:jc w:val="both"/>
    </w:pPr>
    <w:rPr>
      <w:rFonts w:ascii="宋体" w:hAnsi="Times New Roman" w:eastAsia="宋体" w:cs="Times New Roman"/>
      <w:kern w:val="0"/>
      <w:sz w:val="21"/>
      <w:szCs w:val="20"/>
      <w:lang w:val="en-US" w:eastAsia="zh-CN" w:bidi="ar-SA"/>
    </w:rPr>
  </w:style>
  <w:style w:type="paragraph" w:customStyle="1" w:styleId="28">
    <w:name w:val="目次、标准名称标题"/>
    <w:basedOn w:val="19"/>
    <w:next w:val="27"/>
    <w:uiPriority w:val="0"/>
    <w:pPr>
      <w:numPr>
        <w:numId w:val="0"/>
      </w:numPr>
      <w:spacing w:line="460" w:lineRule="exact"/>
    </w:pPr>
  </w:style>
  <w:style w:type="paragraph" w:customStyle="1" w:styleId="2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30">
    <w:name w:val="附录标识"/>
    <w:basedOn w:val="19"/>
    <w:qFormat/>
    <w:uiPriority w:val="0"/>
    <w:pPr>
      <w:numPr>
        <w:ilvl w:val="0"/>
        <w:numId w:val="3"/>
      </w:numPr>
      <w:tabs>
        <w:tab w:val="left" w:pos="6405"/>
      </w:tabs>
      <w:spacing w:after="200"/>
    </w:pPr>
    <w:rPr>
      <w:sz w:val="21"/>
    </w:rPr>
  </w:style>
  <w:style w:type="paragraph" w:customStyle="1" w:styleId="31">
    <w:name w:val="附录章标题"/>
    <w:next w:val="27"/>
    <w:qFormat/>
    <w:uiPriority w:val="0"/>
    <w:pPr>
      <w:numPr>
        <w:ilvl w:val="1"/>
        <w:numId w:val="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32">
    <w:name w:val="编号正文缩进"/>
    <w:basedOn w:val="1"/>
    <w:qFormat/>
    <w:uiPriority w:val="0"/>
    <w:pPr>
      <w:numPr>
        <w:ilvl w:val="1"/>
        <w:numId w:val="4"/>
      </w:numPr>
      <w:tabs>
        <w:tab w:val="left" w:pos="284"/>
      </w:tabs>
      <w:ind w:left="86" w:firstLine="454"/>
    </w:pPr>
    <w:rPr>
      <w:szCs w:val="20"/>
    </w:rPr>
  </w:style>
  <w:style w:type="paragraph" w:customStyle="1" w:styleId="33">
    <w:name w:val="CM28"/>
    <w:basedOn w:val="1"/>
    <w:next w:val="1"/>
    <w:qFormat/>
    <w:uiPriority w:val="0"/>
    <w:pPr>
      <w:autoSpaceDE w:val="0"/>
      <w:autoSpaceDN w:val="0"/>
      <w:adjustRightInd w:val="0"/>
      <w:spacing w:after="310"/>
      <w:jc w:val="left"/>
    </w:pPr>
    <w:rPr>
      <w:rFonts w:ascii="华文楷体" w:eastAsia="华文楷体" w:cs="华文楷体"/>
      <w:kern w:val="0"/>
      <w:sz w:val="24"/>
    </w:rPr>
  </w:style>
  <w:style w:type="paragraph" w:customStyle="1" w:styleId="34">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kern w:val="0"/>
      <w:sz w:val="96"/>
      <w:szCs w:val="20"/>
      <w:lang w:val="en-US" w:eastAsia="zh-CN" w:bidi="ar-SA"/>
    </w:rPr>
  </w:style>
  <w:style w:type="paragraph" w:customStyle="1" w:styleId="35">
    <w:name w:val="标准书脚_偶数页"/>
    <w:qFormat/>
    <w:uiPriority w:val="0"/>
    <w:pPr>
      <w:spacing w:before="120"/>
    </w:pPr>
    <w:rPr>
      <w:rFonts w:ascii="Times New Roman" w:hAnsi="Times New Roman" w:eastAsia="宋体" w:cs="Times New Roman"/>
      <w:kern w:val="0"/>
      <w:sz w:val="18"/>
      <w:szCs w:val="20"/>
      <w:lang w:val="en-US" w:eastAsia="zh-CN" w:bidi="ar-SA"/>
    </w:rPr>
  </w:style>
  <w:style w:type="paragraph" w:customStyle="1" w:styleId="36">
    <w:name w:val="标准书脚_奇数页"/>
    <w:qFormat/>
    <w:uiPriority w:val="0"/>
    <w:pPr>
      <w:spacing w:before="120"/>
      <w:jc w:val="right"/>
    </w:pPr>
    <w:rPr>
      <w:rFonts w:ascii="Times New Roman" w:hAnsi="Times New Roman" w:eastAsia="宋体" w:cs="Times New Roman"/>
      <w:kern w:val="0"/>
      <w:sz w:val="18"/>
      <w:szCs w:val="20"/>
      <w:lang w:val="en-US" w:eastAsia="zh-CN" w:bidi="ar-SA"/>
    </w:rPr>
  </w:style>
  <w:style w:type="paragraph" w:customStyle="1" w:styleId="37">
    <w:name w:val="标准书眉_奇数页"/>
    <w:next w:val="1"/>
    <w:qFormat/>
    <w:uiPriority w:val="0"/>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38">
    <w:name w:val="标准书眉_偶数页"/>
    <w:basedOn w:val="37"/>
    <w:next w:val="1"/>
    <w:qFormat/>
    <w:uiPriority w:val="0"/>
    <w:pPr>
      <w:jc w:val="left"/>
    </w:pPr>
  </w:style>
  <w:style w:type="paragraph" w:customStyle="1" w:styleId="39">
    <w:name w:val="标准书眉一"/>
    <w:qFormat/>
    <w:uiPriority w:val="0"/>
    <w:pPr>
      <w:jc w:val="both"/>
    </w:pPr>
    <w:rPr>
      <w:rFonts w:ascii="Times New Roman" w:hAnsi="Times New Roman" w:eastAsia="宋体" w:cs="Times New Roman"/>
      <w:kern w:val="0"/>
      <w:sz w:val="20"/>
      <w:szCs w:val="20"/>
      <w:lang w:val="en-US" w:eastAsia="zh-CN" w:bidi="ar-SA"/>
    </w:rPr>
  </w:style>
  <w:style w:type="character" w:customStyle="1" w:styleId="40">
    <w:name w:val="发布"/>
    <w:basedOn w:val="12"/>
    <w:qFormat/>
    <w:uiPriority w:val="0"/>
    <w:rPr>
      <w:rFonts w:ascii="黑体" w:eastAsia="黑体"/>
      <w:spacing w:val="22"/>
      <w:w w:val="100"/>
      <w:position w:val="3"/>
      <w:sz w:val="28"/>
    </w:rPr>
  </w:style>
  <w:style w:type="paragraph" w:customStyle="1" w:styleId="41">
    <w:name w:val="发布日期"/>
    <w:qFormat/>
    <w:uiPriority w:val="0"/>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4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43">
    <w:name w:val="封面标准文稿类别"/>
    <w:qFormat/>
    <w:uiPriority w:val="0"/>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44">
    <w:name w:val="封面标准英文名称"/>
    <w:qFormat/>
    <w:uiPriority w:val="0"/>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paragraph" w:customStyle="1" w:styleId="45">
    <w:name w:val="封面一致性程度标识"/>
    <w:qFormat/>
    <w:uiPriority w:val="0"/>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46">
    <w:name w:val="封面正文"/>
    <w:qFormat/>
    <w:uiPriority w:val="0"/>
    <w:pPr>
      <w:jc w:val="both"/>
    </w:pPr>
    <w:rPr>
      <w:rFonts w:ascii="Times New Roman" w:hAnsi="Times New Roman" w:eastAsia="宋体" w:cs="Times New Roman"/>
      <w:kern w:val="0"/>
      <w:sz w:val="20"/>
      <w:szCs w:val="20"/>
      <w:lang w:val="en-US" w:eastAsia="zh-CN" w:bidi="ar-SA"/>
    </w:rPr>
  </w:style>
  <w:style w:type="paragraph" w:customStyle="1" w:styleId="47">
    <w:name w:val="其他标准称谓"/>
    <w:qFormat/>
    <w:uiPriority w:val="0"/>
    <w:pPr>
      <w:spacing w:line="0" w:lineRule="atLeast"/>
      <w:jc w:val="distribute"/>
    </w:pPr>
    <w:rPr>
      <w:rFonts w:ascii="黑体" w:hAnsi="宋体" w:eastAsia="黑体" w:cs="Times New Roman"/>
      <w:kern w:val="0"/>
      <w:sz w:val="52"/>
      <w:szCs w:val="20"/>
      <w:lang w:val="en-US" w:eastAsia="zh-CN" w:bidi="ar-SA"/>
    </w:rPr>
  </w:style>
  <w:style w:type="paragraph" w:customStyle="1" w:styleId="48">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49">
    <w:name w:val="实施日期"/>
    <w:basedOn w:val="41"/>
    <w:qFormat/>
    <w:uiPriority w:val="0"/>
    <w:pPr>
      <w:framePr w:hSpace="0" w:xAlign="right"/>
      <w:jc w:val="right"/>
    </w:pPr>
  </w:style>
  <w:style w:type="paragraph" w:customStyle="1" w:styleId="50">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kern w:val="0"/>
      <w:sz w:val="21"/>
      <w:szCs w:val="20"/>
      <w:lang w:val="en-US" w:eastAsia="zh-CN" w:bidi="ar-SA"/>
    </w:rPr>
  </w:style>
  <w:style w:type="character" w:customStyle="1" w:styleId="51">
    <w:name w:val="Char Char22"/>
    <w:qFormat/>
    <w:uiPriority w:val="0"/>
    <w:rPr>
      <w:rFonts w:eastAsia="宋体"/>
      <w:kern w:val="2"/>
      <w:sz w:val="18"/>
      <w:szCs w:val="18"/>
      <w:lang w:val="en-US" w:eastAsia="zh-CN" w:bidi="ar-SA"/>
    </w:rPr>
  </w:style>
  <w:style w:type="character" w:customStyle="1" w:styleId="52">
    <w:name w:val="标题 1 Char"/>
    <w:basedOn w:val="12"/>
    <w:link w:val="2"/>
    <w:qFormat/>
    <w:uiPriority w:val="99"/>
    <w:rPr>
      <w:rFonts w:ascii="Times New Roman" w:hAnsi="Times New Roman" w:eastAsia="宋体" w:cs="Times New Roman"/>
      <w:b/>
      <w:bCs/>
      <w:kern w:val="44"/>
      <w:sz w:val="44"/>
      <w:szCs w:val="44"/>
    </w:rPr>
  </w:style>
  <w:style w:type="character" w:styleId="53">
    <w:name w:val="Placeholder Text"/>
    <w:basedOn w:val="12"/>
    <w:semiHidden/>
    <w:uiPriority w:val="99"/>
    <w:rPr>
      <w:color w:val="808080"/>
    </w:rPr>
  </w:style>
  <w:style w:type="character" w:customStyle="1" w:styleId="54">
    <w:name w:val="标题 2 Char"/>
    <w:basedOn w:val="12"/>
    <w:link w:val="3"/>
    <w:semiHidden/>
    <w:uiPriority w:val="9"/>
    <w:rPr>
      <w:rFonts w:asciiTheme="majorHAnsi" w:hAnsiTheme="majorHAnsi" w:eastAsiaTheme="majorEastAsia" w:cstheme="majorBidi"/>
      <w:b/>
      <w:bCs/>
      <w:sz w:val="32"/>
      <w:szCs w:val="32"/>
    </w:rPr>
  </w:style>
  <w:style w:type="paragraph" w:customStyle="1" w:styleId="55">
    <w:name w:val="三级条标题"/>
    <w:basedOn w:val="24"/>
    <w:next w:val="27"/>
    <w:qFormat/>
    <w:uiPriority w:val="0"/>
    <w:pPr>
      <w:tabs>
        <w:tab w:val="left" w:pos="360"/>
      </w:tabs>
      <w:outlineLvl w:val="4"/>
    </w:pPr>
  </w:style>
  <w:style w:type="character" w:customStyle="1" w:styleId="56">
    <w:name w:val="批注文字 Char"/>
    <w:basedOn w:val="12"/>
    <w:link w:val="4"/>
    <w:semiHidden/>
    <w:uiPriority w:val="99"/>
    <w:rPr>
      <w:rFonts w:ascii="Times New Roman" w:hAnsi="Times New Roman" w:eastAsia="宋体" w:cs="Times New Roman"/>
      <w:szCs w:val="24"/>
    </w:rPr>
  </w:style>
  <w:style w:type="character" w:customStyle="1" w:styleId="57">
    <w:name w:val="批注主题 Char"/>
    <w:basedOn w:val="56"/>
    <w:link w:val="9"/>
    <w:semiHidden/>
    <w:uiPriority w:val="99"/>
    <w:rPr>
      <w:rFonts w:ascii="Times New Roman" w:hAnsi="Times New Roman" w:eastAsia="宋体" w:cs="Times New Roman"/>
      <w:b/>
      <w:bCs/>
      <w:szCs w:val="24"/>
    </w:rPr>
  </w:style>
  <w:style w:type="character" w:customStyle="1" w:styleId="58">
    <w:name w:val="批注框文本 Char"/>
    <w:basedOn w:val="12"/>
    <w:link w:val="6"/>
    <w:semiHidden/>
    <w:uiPriority w:val="99"/>
    <w:rPr>
      <w:rFonts w:ascii="Times New Roman" w:hAnsi="Times New Roman" w:eastAsia="宋体" w:cs="Times New Roman"/>
      <w:sz w:val="18"/>
      <w:szCs w:val="18"/>
    </w:rPr>
  </w:style>
  <w:style w:type="paragraph" w:customStyle="1" w:styleId="59">
    <w:name w:val="Defaul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60">
    <w:name w:val="Revision"/>
    <w:hidden/>
    <w:semiHidden/>
    <w:uiPriority w:val="99"/>
    <w:rPr>
      <w:rFonts w:ascii="Times New Roman" w:hAnsi="Times New Roman" w:eastAsia="宋体" w:cs="Times New Roman"/>
      <w:kern w:val="2"/>
      <w:sz w:val="21"/>
      <w:szCs w:val="24"/>
      <w:lang w:val="en-US" w:eastAsia="zh-CN" w:bidi="ar-SA"/>
    </w:rPr>
  </w:style>
  <w:style w:type="paragraph" w:customStyle="1" w:styleId="61">
    <w:name w:val="一级无"/>
    <w:basedOn w:val="21"/>
    <w:qFormat/>
    <w:uiPriority w:val="0"/>
    <w:pPr>
      <w:numPr>
        <w:ilvl w:val="1"/>
      </w:numPr>
      <w:jc w:val="left"/>
    </w:pPr>
    <w:rPr>
      <w:rFonts w:ascii="宋体" w:eastAsia="宋体"/>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6F8307-3B4B-488C-A338-C2C0BF2CE1E2}">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988</Words>
  <Characters>5632</Characters>
  <Lines>46</Lines>
  <Paragraphs>13</Paragraphs>
  <TotalTime>404</TotalTime>
  <ScaleCrop>false</ScaleCrop>
  <LinksUpToDate>false</LinksUpToDate>
  <CharactersWithSpaces>6607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2018-07-23T07:27:00Z</dcterms:created>
  <dc:creator>甘云霞</dc:creator>
  <cp:lastModifiedBy>三清环保-张国文</cp:lastModifiedBy>
  <cp:lastPrinted>2019-01-16T10:01:00Z</cp:lastPrinted>
  <dcterms:modified xsi:type="dcterms:W3CDTF">2019-03-22T14:25:06Z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